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5FD3614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443A6">
              <w:t>5-2</w:t>
            </w:r>
            <w:r w:rsidR="001B226C">
              <w:t>8</w:t>
            </w:r>
            <w:r w:rsidR="001B00D4">
              <w:t>1</w:t>
            </w:r>
            <w:r w:rsidR="001B226C">
              <w:t>8</w:t>
            </w:r>
          </w:p>
          <w:p w14:paraId="011E803D" w14:textId="6AABA88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50CC">
              <w:t>19</w:t>
            </w:r>
            <w:r>
              <w:t xml:space="preserve"> </w:t>
            </w:r>
            <w:r w:rsidR="00E5151A">
              <w:t xml:space="preserve">September </w:t>
            </w:r>
            <w:r w:rsidR="00F76704">
              <w:t>202</w:t>
            </w:r>
            <w:r w:rsidR="00E443A6">
              <w:t>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47BBEA15" w14:textId="67A6682C" w:rsidR="001B00D4" w:rsidRPr="001B00D4" w:rsidRDefault="001B00D4" w:rsidP="001B00D4">
      <w:pPr>
        <w:tabs>
          <w:tab w:val="num" w:pos="720"/>
        </w:tabs>
        <w:rPr>
          <w:b/>
          <w:bCs/>
          <w:color w:val="000000" w:themeColor="text1"/>
        </w:rPr>
      </w:pPr>
      <w:bookmarkStart w:id="0" w:name="_Hlk208500017"/>
      <w:r w:rsidRPr="001B00D4">
        <w:rPr>
          <w:b/>
          <w:bCs/>
          <w:color w:val="000000" w:themeColor="text1"/>
        </w:rPr>
        <w:t>1. A yearly breakdown of the total number of cars reported as stolen in your policing area during the periods: 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April 2022</w:t>
      </w:r>
      <w:r>
        <w:rPr>
          <w:b/>
          <w:bCs/>
          <w:color w:val="000000" w:themeColor="text1"/>
        </w:rPr>
        <w:t xml:space="preserve"> </w:t>
      </w:r>
      <w:r w:rsidRPr="001B00D4">
        <w:rPr>
          <w:b/>
          <w:bCs/>
          <w:color w:val="000000" w:themeColor="text1"/>
        </w:rPr>
        <w:t>-</w:t>
      </w:r>
      <w:r>
        <w:rPr>
          <w:b/>
          <w:bCs/>
          <w:color w:val="000000" w:themeColor="text1"/>
        </w:rPr>
        <w:t xml:space="preserve"> </w:t>
      </w:r>
      <w:r w:rsidRPr="001B00D4">
        <w:rPr>
          <w:b/>
          <w:bCs/>
          <w:color w:val="000000" w:themeColor="text1"/>
        </w:rPr>
        <w:t>March 31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2023, 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April 2023 - March 31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2024 and 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April 2024 - March 31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2025.</w:t>
      </w:r>
    </w:p>
    <w:p w14:paraId="0728ED1E" w14:textId="1044C867" w:rsidR="001B00D4" w:rsidRPr="001B00D4" w:rsidRDefault="001B00D4" w:rsidP="001B00D4">
      <w:pPr>
        <w:rPr>
          <w:color w:val="000000" w:themeColor="text1"/>
        </w:rPr>
      </w:pPr>
      <w:r w:rsidRPr="001B00D4">
        <w:rPr>
          <w:color w:val="000000" w:themeColor="text1"/>
        </w:rP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1C81DD24" w14:textId="17290B8B" w:rsidR="001B00D4" w:rsidRDefault="001B00D4" w:rsidP="001B00D4">
      <w:pPr>
        <w:rPr>
          <w:b/>
          <w:bCs/>
          <w:color w:val="000000" w:themeColor="text1"/>
        </w:rPr>
      </w:pPr>
      <w:r w:rsidRPr="001B00D4">
        <w:rPr>
          <w:color w:val="000000" w:themeColor="text1"/>
        </w:rPr>
        <w:t xml:space="preserve">To explain </w:t>
      </w:r>
      <w:r>
        <w:rPr>
          <w:color w:val="000000" w:themeColor="text1"/>
        </w:rPr>
        <w:t>c</w:t>
      </w:r>
      <w:r w:rsidRPr="001B00D4">
        <w:rPr>
          <w:color w:val="000000" w:themeColor="text1"/>
        </w:rPr>
        <w:t>rimes in Scotland are recorded in accordance with SGJD crime classifications and are not thereafter sub-categorised. In this instance, the relevant offence is Theft of a motor</w:t>
      </w:r>
      <w:r>
        <w:rPr>
          <w:color w:val="000000" w:themeColor="text1"/>
        </w:rPr>
        <w:t xml:space="preserve"> </w:t>
      </w:r>
      <w:r w:rsidRPr="001B00D4">
        <w:rPr>
          <w:color w:val="000000" w:themeColor="text1"/>
        </w:rPr>
        <w:t xml:space="preserve">vehicle, and it is not sub-categorised by vehicle type. As such, the only way to establish whether the type of vehicle stolen was a car, would be to carry out case by case review of all Theft of </w:t>
      </w:r>
      <w:r w:rsidR="009A57B5">
        <w:rPr>
          <w:color w:val="000000" w:themeColor="text1"/>
        </w:rPr>
        <w:t>M</w:t>
      </w:r>
      <w:r>
        <w:rPr>
          <w:color w:val="000000" w:themeColor="text1"/>
        </w:rPr>
        <w:t xml:space="preserve">otor </w:t>
      </w:r>
      <w:r w:rsidR="009A57B5">
        <w:rPr>
          <w:color w:val="000000" w:themeColor="text1"/>
        </w:rPr>
        <w:t>V</w:t>
      </w:r>
      <w:r>
        <w:rPr>
          <w:color w:val="000000" w:themeColor="text1"/>
        </w:rPr>
        <w:t>ehicle Crime Reports</w:t>
      </w:r>
      <w:r w:rsidR="009A57B5">
        <w:rPr>
          <w:color w:val="000000" w:themeColor="text1"/>
        </w:rPr>
        <w:t xml:space="preserve"> - </w:t>
      </w:r>
      <w:r w:rsidR="009A57B5" w:rsidRPr="00DD5035">
        <w:t>an exercise which I estimate would far exceed the cost limit set out in the Fees Regulations.</w:t>
      </w:r>
      <w:r>
        <w:rPr>
          <w:color w:val="000000" w:themeColor="text1"/>
        </w:rPr>
        <w:t xml:space="preserve"> </w:t>
      </w:r>
      <w:r w:rsidRPr="001B00D4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</w:t>
      </w:r>
    </w:p>
    <w:p w14:paraId="7B1AD914" w14:textId="28B754B5" w:rsidR="001B00D4" w:rsidRPr="001B00D4" w:rsidRDefault="001B00D4" w:rsidP="001B00D4">
      <w:pPr>
        <w:tabs>
          <w:tab w:val="num" w:pos="720"/>
        </w:tabs>
        <w:rPr>
          <w:b/>
          <w:bCs/>
          <w:color w:val="000000" w:themeColor="text1"/>
        </w:rPr>
      </w:pPr>
      <w:r w:rsidRPr="001B00D4">
        <w:rPr>
          <w:b/>
          <w:bCs/>
          <w:color w:val="000000" w:themeColor="text1"/>
        </w:rPr>
        <w:t>2. A yearly breakdown of the total number of thefts from a vehicle reported in your policing area during the periods: 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April 2022 - March 31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2023, 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April 2023 - March 31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2024 and 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April 2024 - March 31</w:t>
      </w:r>
      <w:r w:rsidRPr="001B00D4">
        <w:rPr>
          <w:b/>
          <w:bCs/>
          <w:color w:val="000000" w:themeColor="text1"/>
          <w:vertAlign w:val="superscript"/>
        </w:rPr>
        <w:t>st</w:t>
      </w:r>
      <w:r w:rsidRPr="001B00D4">
        <w:rPr>
          <w:b/>
          <w:bCs/>
          <w:color w:val="000000" w:themeColor="text1"/>
        </w:rPr>
        <w:t> 2025.</w:t>
      </w:r>
    </w:p>
    <w:bookmarkEnd w:id="0"/>
    <w:p w14:paraId="0D39024E" w14:textId="77777777" w:rsidR="008769A4" w:rsidRDefault="008769A4" w:rsidP="008769A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F1A1591" w14:textId="77777777" w:rsidR="008769A4" w:rsidRDefault="008769A4" w:rsidP="008769A4">
      <w:r>
        <w:t>“Information which the applicant can reasonably obtain other than by requesting it […] is exempt information”.</w:t>
      </w:r>
    </w:p>
    <w:p w14:paraId="06BA5477" w14:textId="77777777" w:rsidR="008769A4" w:rsidRDefault="008769A4" w:rsidP="008769A4">
      <w:r>
        <w:t>The information sought is publicly available:</w:t>
      </w:r>
    </w:p>
    <w:p w14:paraId="0F0E9924" w14:textId="77777777" w:rsidR="008769A4" w:rsidRDefault="008769A4" w:rsidP="008769A4">
      <w:pPr>
        <w:tabs>
          <w:tab w:val="left" w:pos="5400"/>
        </w:tabs>
      </w:pPr>
      <w:hyperlink r:id="rId8" w:tgtFrame="_blank" w:history="1">
        <w:r w:rsidRPr="00AF490F">
          <w:rPr>
            <w:rStyle w:val="Hyperlink"/>
          </w:rPr>
          <w:t>Crime data - Police Scotland</w:t>
        </w:r>
      </w:hyperlink>
    </w:p>
    <w:p w14:paraId="2F1A8D0B" w14:textId="77777777" w:rsidR="009C2792" w:rsidRDefault="009C2792" w:rsidP="00793DD5"/>
    <w:p w14:paraId="6B80742B" w14:textId="6040C03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263DEB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5E40D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53685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09020D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29AC54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59B7CE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7F7"/>
    <w:multiLevelType w:val="hybridMultilevel"/>
    <w:tmpl w:val="0D1E7B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AA2"/>
    <w:multiLevelType w:val="multilevel"/>
    <w:tmpl w:val="F764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61F6F"/>
    <w:multiLevelType w:val="multilevel"/>
    <w:tmpl w:val="2F0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73019"/>
    <w:multiLevelType w:val="multilevel"/>
    <w:tmpl w:val="C532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97C39"/>
    <w:multiLevelType w:val="multilevel"/>
    <w:tmpl w:val="F94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5"/>
  </w:num>
  <w:num w:numId="2" w16cid:durableId="1847089421">
    <w:abstractNumId w:val="0"/>
  </w:num>
  <w:num w:numId="3" w16cid:durableId="342904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401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894467">
    <w:abstractNumId w:val="4"/>
  </w:num>
  <w:num w:numId="6" w16cid:durableId="1763332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183"/>
    <w:rsid w:val="00070A8A"/>
    <w:rsid w:val="00090F3B"/>
    <w:rsid w:val="000D1CC5"/>
    <w:rsid w:val="000E6526"/>
    <w:rsid w:val="001321D1"/>
    <w:rsid w:val="00141533"/>
    <w:rsid w:val="00167528"/>
    <w:rsid w:val="00195CC4"/>
    <w:rsid w:val="001B00D4"/>
    <w:rsid w:val="001B226C"/>
    <w:rsid w:val="00253DF6"/>
    <w:rsid w:val="00255F1E"/>
    <w:rsid w:val="002E292C"/>
    <w:rsid w:val="003A1FE6"/>
    <w:rsid w:val="003E12CA"/>
    <w:rsid w:val="003E75AF"/>
    <w:rsid w:val="004010DC"/>
    <w:rsid w:val="004341F0"/>
    <w:rsid w:val="00456324"/>
    <w:rsid w:val="00472DBB"/>
    <w:rsid w:val="00475460"/>
    <w:rsid w:val="00490317"/>
    <w:rsid w:val="00491644"/>
    <w:rsid w:val="00496A08"/>
    <w:rsid w:val="004E1605"/>
    <w:rsid w:val="004F653C"/>
    <w:rsid w:val="00540A52"/>
    <w:rsid w:val="00550301"/>
    <w:rsid w:val="005546A9"/>
    <w:rsid w:val="005B61E9"/>
    <w:rsid w:val="006250CC"/>
    <w:rsid w:val="00750D83"/>
    <w:rsid w:val="007803C3"/>
    <w:rsid w:val="00793380"/>
    <w:rsid w:val="00793DD5"/>
    <w:rsid w:val="007D55F6"/>
    <w:rsid w:val="007F490F"/>
    <w:rsid w:val="0086779C"/>
    <w:rsid w:val="00874BFD"/>
    <w:rsid w:val="008769A4"/>
    <w:rsid w:val="008964EF"/>
    <w:rsid w:val="009013A7"/>
    <w:rsid w:val="00977296"/>
    <w:rsid w:val="009A57B5"/>
    <w:rsid w:val="009C2792"/>
    <w:rsid w:val="009D13D0"/>
    <w:rsid w:val="00A25E93"/>
    <w:rsid w:val="00A320FF"/>
    <w:rsid w:val="00A65C73"/>
    <w:rsid w:val="00A70AC0"/>
    <w:rsid w:val="00A732CA"/>
    <w:rsid w:val="00A83030"/>
    <w:rsid w:val="00A96ADC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90EAE"/>
    <w:rsid w:val="00CF1111"/>
    <w:rsid w:val="00D00C3D"/>
    <w:rsid w:val="00D27DC5"/>
    <w:rsid w:val="00D47E36"/>
    <w:rsid w:val="00E10B19"/>
    <w:rsid w:val="00E443A6"/>
    <w:rsid w:val="00E5151A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,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,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33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470</Words>
  <Characters>2683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2025-08-27T08:44:00Z</dcterms:created>
  <dcterms:modified xsi:type="dcterms:W3CDTF">2025-09-19T09:25:00Z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