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2632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07C05">
              <w:t>0171</w:t>
            </w:r>
          </w:p>
          <w:p w14:paraId="34BDABA6" w14:textId="6D80B8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7C05">
              <w:t>1</w:t>
            </w:r>
            <w:r w:rsidR="00DB0EF2">
              <w:t>2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F22B12" w14:textId="00A38A44" w:rsidR="00007C05" w:rsidRPr="00007C05" w:rsidRDefault="00007C05" w:rsidP="00007C05">
      <w:r>
        <w:t xml:space="preserve">I would ask that you note that your </w:t>
      </w:r>
      <w:r w:rsidRPr="00007C05">
        <w:t>original correspondence has been split into several individual requests due to wide scope and variety of subject matter therein</w:t>
      </w:r>
      <w:r w:rsidR="006771C1" w:rsidRPr="00007C05">
        <w:t xml:space="preserve">. </w:t>
      </w:r>
      <w:r w:rsidRPr="00007C05">
        <w:t>The remainder of your request will be answered separately.</w:t>
      </w:r>
    </w:p>
    <w:p w14:paraId="4235536B" w14:textId="77777777" w:rsidR="00DB0EF2" w:rsidRDefault="00007C05" w:rsidP="00007C05">
      <w:pPr>
        <w:pStyle w:val="Heading2"/>
      </w:pPr>
      <w:r>
        <w:t xml:space="preserve">1. </w:t>
      </w:r>
      <w:r w:rsidRPr="00007C05">
        <w:t xml:space="preserve">Annual Budgets (Historical) </w:t>
      </w:r>
      <w:r w:rsidR="00B45525">
        <w:br/>
      </w:r>
      <w:r w:rsidRPr="00007C05">
        <w:t xml:space="preserve">Please provide the annual budget allocations for Police Scotland for each of the last five financial years. </w:t>
      </w:r>
      <w:r w:rsidR="00B45525">
        <w:br/>
      </w:r>
      <w:r w:rsidRPr="00007C05">
        <w:t>Include a breakdown of core budgetary categories (frontline services, administrative costs, equipment procurement, training, etc.).</w:t>
      </w:r>
    </w:p>
    <w:p w14:paraId="2223DCC3" w14:textId="3901FE24" w:rsidR="00DB0EF2" w:rsidRPr="00DB0EF2" w:rsidRDefault="00DB0EF2" w:rsidP="00DB0EF2">
      <w:bookmarkStart w:id="0" w:name="_MailAutoSig"/>
      <w:r w:rsidRPr="00DB0EF2">
        <w:t>I can advise that Police Scotland does not hold information</w:t>
      </w:r>
      <w:r w:rsidR="00E84566">
        <w:t xml:space="preserve"> in the format reqested</w:t>
      </w:r>
      <w:r w:rsidRPr="00DB0EF2">
        <w:t xml:space="preserve">. </w:t>
      </w:r>
    </w:p>
    <w:p w14:paraId="1F903A59" w14:textId="77777777" w:rsidR="00DB0EF2" w:rsidRPr="00DB0EF2" w:rsidRDefault="00DB0EF2" w:rsidP="00DB0EF2">
      <w:r w:rsidRPr="00DB0EF2">
        <w:t>In terms of Section 17 of the Act, this letter represents a formal notice that information is not held.</w:t>
      </w:r>
    </w:p>
    <w:p w14:paraId="5C652A95" w14:textId="72D8F782" w:rsidR="00DB0EF2" w:rsidRPr="00DB0EF2" w:rsidRDefault="00DB0EF2" w:rsidP="00DB0EF2">
      <w:r w:rsidRPr="00DB0EF2">
        <w:t>By way of explanation,</w:t>
      </w:r>
      <w:r>
        <w:t xml:space="preserve"> data is not </w:t>
      </w:r>
      <w:r w:rsidR="00E84566">
        <w:t>recorded</w:t>
      </w:r>
      <w:r>
        <w:t xml:space="preserve"> in the categories specified. </w:t>
      </w:r>
    </w:p>
    <w:bookmarkEnd w:id="0"/>
    <w:p w14:paraId="73AE6662" w14:textId="18685033" w:rsidR="00B45525" w:rsidRPr="00007C05" w:rsidRDefault="00DB0EF2" w:rsidP="00007C05">
      <w:r>
        <w:t xml:space="preserve">To be of assistance, I have provided, </w:t>
      </w:r>
      <w:r w:rsidR="00007C05">
        <w:t>at the end of this response</w:t>
      </w:r>
      <w:r w:rsidR="00007C05" w:rsidRPr="00007C05">
        <w:t xml:space="preserve"> a breakdown of the annual Police Authority budgets from 2020-21 to 2024-25 in millions</w:t>
      </w:r>
      <w:r w:rsidR="006771C1" w:rsidRPr="00007C05">
        <w:t xml:space="preserve">. </w:t>
      </w:r>
      <w:r w:rsidR="00007C05" w:rsidRPr="00007C05">
        <w:t>We have provided a breakdown by spend type as we were not able to provide a breakdown into the suggested categories</w:t>
      </w:r>
      <w:r w:rsidR="006771C1" w:rsidRPr="00007C05">
        <w:t xml:space="preserve">. </w:t>
      </w:r>
      <w:r w:rsidR="00007C05" w:rsidRPr="00007C05">
        <w:t>Please note the below table is the initial approved budget, there will have been in year changes for additional pay award, SBR / ABR, IFRS16 impact in some years.</w:t>
      </w:r>
    </w:p>
    <w:p w14:paraId="34BDABBD" w14:textId="26750B67" w:rsidR="00BF6B81" w:rsidRDefault="00007C05" w:rsidP="00007C05">
      <w:pPr>
        <w:pStyle w:val="Heading2"/>
      </w:pPr>
      <w:r>
        <w:t xml:space="preserve">2. </w:t>
      </w:r>
      <w:r w:rsidRPr="00007C05">
        <w:t xml:space="preserve">Budget Deficits or Shortfalls </w:t>
      </w:r>
      <w:r w:rsidR="00B45525">
        <w:br/>
      </w:r>
      <w:r w:rsidRPr="00007C05">
        <w:t xml:space="preserve">Details of any reported budget deficits or shortfalls in the same period. </w:t>
      </w:r>
      <w:r w:rsidR="00B45525">
        <w:br/>
      </w:r>
      <w:r w:rsidRPr="00007C05">
        <w:t>Any internal reports or correspondence detailing causes of these deficits and any remedial actions taken</w:t>
      </w:r>
      <w:r>
        <w:t>.</w:t>
      </w:r>
    </w:p>
    <w:p w14:paraId="02BD57BA" w14:textId="42077205" w:rsidR="00007C05" w:rsidRPr="00007C05" w:rsidRDefault="00007C05" w:rsidP="00007C05">
      <w:r w:rsidRPr="00007C05">
        <w:t>In financial year 2020-21 there was a revenue deficit of £44.0</w:t>
      </w:r>
      <w:r w:rsidR="006771C1" w:rsidRPr="00007C05">
        <w:t xml:space="preserve">m. </w:t>
      </w:r>
      <w:r w:rsidRPr="00007C05">
        <w:t>Scottish Government acknowledged the deficit budget with a commitment to provide additional support in year</w:t>
      </w:r>
      <w:r w:rsidR="006771C1" w:rsidRPr="00007C05">
        <w:t xml:space="preserve">. </w:t>
      </w:r>
      <w:r w:rsidRPr="00007C05">
        <w:lastRenderedPageBreak/>
        <w:t>In 2021-22 additional funding was received to eliminate the deficit and a balanced budget has been set each year since</w:t>
      </w:r>
      <w:r w:rsidR="006771C1" w:rsidRPr="00007C05">
        <w:t xml:space="preserve">. </w:t>
      </w:r>
    </w:p>
    <w:p w14:paraId="34DB2FC5" w14:textId="77777777" w:rsidR="00007C05" w:rsidRPr="00007C05" w:rsidRDefault="00007C05" w:rsidP="00007C05">
      <w:pPr>
        <w:rPr>
          <w:b/>
          <w:bCs/>
        </w:rPr>
      </w:pPr>
    </w:p>
    <w:p w14:paraId="1EB652ED" w14:textId="77777777" w:rsidR="00007C05" w:rsidRPr="00007C05" w:rsidRDefault="00007C05" w:rsidP="00007C0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9955D49" w14:textId="77777777" w:rsidR="00007C05" w:rsidRDefault="00007C05" w:rsidP="007F490F">
      <w:pPr>
        <w:jc w:val="both"/>
      </w:pPr>
    </w:p>
    <w:p w14:paraId="1E670B98" w14:textId="77777777" w:rsidR="00007C05" w:rsidRDefault="00007C05" w:rsidP="007F490F">
      <w:pPr>
        <w:jc w:val="both"/>
      </w:pPr>
    </w:p>
    <w:p w14:paraId="67017BB9" w14:textId="77777777" w:rsidR="00007C05" w:rsidRDefault="00007C05" w:rsidP="007F490F">
      <w:pPr>
        <w:jc w:val="both"/>
      </w:pPr>
    </w:p>
    <w:p w14:paraId="402B6344" w14:textId="77777777" w:rsidR="00007C05" w:rsidRDefault="00007C05" w:rsidP="007F490F">
      <w:pPr>
        <w:jc w:val="both"/>
      </w:pPr>
    </w:p>
    <w:p w14:paraId="260FB891" w14:textId="77777777" w:rsidR="00007C05" w:rsidRDefault="00007C05" w:rsidP="007F490F">
      <w:pPr>
        <w:jc w:val="both"/>
      </w:pPr>
    </w:p>
    <w:p w14:paraId="59208BF1" w14:textId="77777777" w:rsidR="00007C05" w:rsidRDefault="00007C05" w:rsidP="007F490F">
      <w:pPr>
        <w:jc w:val="both"/>
      </w:pPr>
    </w:p>
    <w:p w14:paraId="7756E503" w14:textId="77777777" w:rsidR="00007C05" w:rsidRDefault="00007C05" w:rsidP="007F490F">
      <w:pPr>
        <w:jc w:val="both"/>
      </w:pPr>
    </w:p>
    <w:p w14:paraId="246B9694" w14:textId="77777777" w:rsidR="00007C05" w:rsidRDefault="00007C05" w:rsidP="007F490F">
      <w:pPr>
        <w:jc w:val="both"/>
      </w:pPr>
    </w:p>
    <w:p w14:paraId="194C866D" w14:textId="77777777" w:rsidR="00007C05" w:rsidRDefault="00007C05" w:rsidP="007F490F">
      <w:pPr>
        <w:jc w:val="both"/>
      </w:pPr>
    </w:p>
    <w:p w14:paraId="18FB10D4" w14:textId="77777777" w:rsidR="00007C05" w:rsidRDefault="00007C05" w:rsidP="007F490F">
      <w:pPr>
        <w:jc w:val="both"/>
      </w:pPr>
    </w:p>
    <w:p w14:paraId="7DF26554" w14:textId="77777777" w:rsidR="00007C05" w:rsidRDefault="00007C05" w:rsidP="007F490F">
      <w:pPr>
        <w:jc w:val="both"/>
      </w:pPr>
    </w:p>
    <w:p w14:paraId="706C88AD" w14:textId="77777777" w:rsidR="00007C05" w:rsidRDefault="00007C05" w:rsidP="007F490F">
      <w:pPr>
        <w:jc w:val="both"/>
      </w:pPr>
    </w:p>
    <w:p w14:paraId="1D0E04C0" w14:textId="77777777" w:rsidR="00007C05" w:rsidRDefault="00007C05" w:rsidP="007F490F">
      <w:pPr>
        <w:jc w:val="both"/>
      </w:pPr>
    </w:p>
    <w:p w14:paraId="48A99DDE" w14:textId="77777777" w:rsidR="00007C05" w:rsidRDefault="00007C05" w:rsidP="007F490F">
      <w:pPr>
        <w:jc w:val="both"/>
      </w:pPr>
    </w:p>
    <w:p w14:paraId="3D698C93" w14:textId="77777777" w:rsidR="00007C05" w:rsidRDefault="00007C05" w:rsidP="007F490F">
      <w:pPr>
        <w:jc w:val="both"/>
      </w:pPr>
    </w:p>
    <w:p w14:paraId="714D298C" w14:textId="77777777" w:rsidR="00007C05" w:rsidRDefault="00007C05" w:rsidP="007F490F">
      <w:pPr>
        <w:jc w:val="both"/>
      </w:pPr>
    </w:p>
    <w:p w14:paraId="045E64C1" w14:textId="77777777" w:rsidR="00007C05" w:rsidRDefault="00007C05" w:rsidP="007F490F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386"/>
        <w:gridCol w:w="1387"/>
        <w:gridCol w:w="1387"/>
        <w:gridCol w:w="1387"/>
        <w:gridCol w:w="1387"/>
      </w:tblGrid>
      <w:tr w:rsidR="00007C05" w:rsidRPr="00007C05" w14:paraId="363BA455" w14:textId="77777777" w:rsidTr="00B45525">
        <w:trPr>
          <w:trHeight w:val="34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A449" w14:textId="77777777" w:rsidR="00007C05" w:rsidRPr="00007C05" w:rsidRDefault="00007C05" w:rsidP="00B45525">
            <w:pPr>
              <w:spacing w:line="240" w:lineRule="auto"/>
            </w:pP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2E07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2020-21</w:t>
            </w:r>
          </w:p>
          <w:p w14:paraId="7A61B481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£m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C3B5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2021-22</w:t>
            </w:r>
          </w:p>
          <w:p w14:paraId="489EC08F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£m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0492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2022-23</w:t>
            </w:r>
          </w:p>
          <w:p w14:paraId="0512079F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£m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032E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2023-24</w:t>
            </w:r>
          </w:p>
          <w:p w14:paraId="6475B9D3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£m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6C3C0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2024-25</w:t>
            </w:r>
          </w:p>
          <w:p w14:paraId="68704609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£m</w:t>
            </w:r>
          </w:p>
        </w:tc>
      </w:tr>
      <w:tr w:rsidR="00007C05" w:rsidRPr="00007C05" w14:paraId="592E1465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1B49" w14:textId="77777777" w:rsidR="00007C05" w:rsidRPr="00007C05" w:rsidRDefault="00007C05" w:rsidP="00B45525">
            <w:pPr>
              <w:spacing w:line="240" w:lineRule="auto"/>
            </w:pPr>
            <w:r w:rsidRPr="00007C05">
              <w:t>Police officer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F812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817.7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AB9DE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827.3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9476C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845.5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E8E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883.6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CAA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929.8</w:t>
            </w:r>
          </w:p>
        </w:tc>
      </w:tr>
      <w:tr w:rsidR="00007C05" w:rsidRPr="00007C05" w14:paraId="0AB9A003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15057" w14:textId="77777777" w:rsidR="00007C05" w:rsidRPr="00007C05" w:rsidRDefault="00007C05" w:rsidP="00B45525">
            <w:pPr>
              <w:spacing w:line="240" w:lineRule="auto"/>
            </w:pPr>
            <w:r w:rsidRPr="00007C05">
              <w:t>Staff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3F7CB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235.8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5E695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249.4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BD90A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267.1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38AA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289.7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980A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289.2</w:t>
            </w:r>
          </w:p>
        </w:tc>
      </w:tr>
      <w:tr w:rsidR="00007C05" w:rsidRPr="00007C05" w14:paraId="7E6E7E69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478B" w14:textId="77777777" w:rsidR="00007C05" w:rsidRPr="00007C05" w:rsidRDefault="00007C05" w:rsidP="00B45525">
            <w:pPr>
              <w:spacing w:line="240" w:lineRule="auto"/>
            </w:pPr>
            <w:r w:rsidRPr="00007C05">
              <w:t>Other employee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58AB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624E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EF711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31E1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5.2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B2B07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21.1</w:t>
            </w:r>
          </w:p>
        </w:tc>
      </w:tr>
      <w:tr w:rsidR="00007C05" w:rsidRPr="00007C05" w14:paraId="417FA4DF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7E4C" w14:textId="77777777" w:rsidR="00007C05" w:rsidRPr="00007C05" w:rsidRDefault="00007C05" w:rsidP="00B45525">
            <w:pPr>
              <w:spacing w:line="240" w:lineRule="auto"/>
            </w:pPr>
            <w:r w:rsidRPr="00007C05">
              <w:t>Premises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2911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55.6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A2399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53.4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4AE26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58.0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D487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68.6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B0807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72.7</w:t>
            </w:r>
          </w:p>
        </w:tc>
      </w:tr>
      <w:tr w:rsidR="00007C05" w:rsidRPr="00007C05" w14:paraId="1D30220C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4DEEB" w14:textId="1467B1AC" w:rsidR="00007C05" w:rsidRPr="00007C05" w:rsidRDefault="00007C05" w:rsidP="00B45525">
            <w:pPr>
              <w:spacing w:line="240" w:lineRule="auto"/>
            </w:pPr>
            <w:r w:rsidRPr="00007C05">
              <w:t>Transport</w:t>
            </w:r>
            <w:r w:rsidR="00B45525">
              <w:t xml:space="preserve"> </w:t>
            </w:r>
            <w:r w:rsidRPr="00007C05">
              <w:t>related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CA64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21.0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9432F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20.0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284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20.5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339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21.4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FFA3F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19.4</w:t>
            </w:r>
          </w:p>
        </w:tc>
      </w:tr>
      <w:tr w:rsidR="00007C05" w:rsidRPr="00007C05" w14:paraId="13653469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F40F" w14:textId="77777777" w:rsidR="00007C05" w:rsidRPr="00007C05" w:rsidRDefault="00007C05" w:rsidP="00B45525">
            <w:pPr>
              <w:spacing w:line="240" w:lineRule="auto"/>
            </w:pPr>
            <w:r w:rsidRPr="00007C05">
              <w:t>Supplies and services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DCB26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38.4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759A1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42.1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53D4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38.4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A936E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39.6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AB44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39.7</w:t>
            </w:r>
          </w:p>
        </w:tc>
      </w:tr>
      <w:tr w:rsidR="00007C05" w:rsidRPr="00007C05" w14:paraId="38BBBCDD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8586B" w14:textId="77777777" w:rsidR="00007C05" w:rsidRPr="00007C05" w:rsidRDefault="00007C05" w:rsidP="00B45525">
            <w:pPr>
              <w:spacing w:line="240" w:lineRule="auto"/>
            </w:pPr>
            <w:r w:rsidRPr="00007C05">
              <w:t>ICT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C42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28.7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10B7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30.6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22C1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33.0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43FF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33.8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471B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37.2</w:t>
            </w:r>
          </w:p>
        </w:tc>
      </w:tr>
      <w:tr w:rsidR="00007C05" w:rsidRPr="00007C05" w14:paraId="20D3FF7E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2CE6" w14:textId="77777777" w:rsidR="00007C05" w:rsidRPr="00007C05" w:rsidRDefault="00007C05" w:rsidP="00B45525">
            <w:pPr>
              <w:spacing w:line="240" w:lineRule="auto"/>
            </w:pPr>
            <w:r w:rsidRPr="00007C05">
              <w:t>Admin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C3964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7.3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6FE6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7.6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715F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6.7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007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11.3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281A3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10.4</w:t>
            </w:r>
          </w:p>
        </w:tc>
      </w:tr>
      <w:tr w:rsidR="00007C05" w:rsidRPr="00007C05" w14:paraId="38398952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D3DDD" w14:textId="77777777" w:rsidR="00007C05" w:rsidRPr="00007C05" w:rsidRDefault="00007C05" w:rsidP="00B45525">
            <w:pPr>
              <w:spacing w:line="240" w:lineRule="auto"/>
            </w:pPr>
            <w:r w:rsidRPr="00007C05">
              <w:t>Third party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5739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13.7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FD0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13.2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B3ED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14.3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7D84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14.5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9F285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15.6</w:t>
            </w:r>
          </w:p>
        </w:tc>
      </w:tr>
      <w:tr w:rsidR="00007C05" w:rsidRPr="00007C05" w14:paraId="7446FF98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E0B0" w14:textId="6917E215" w:rsidR="00007C05" w:rsidRPr="00007C05" w:rsidRDefault="00007C05" w:rsidP="00B45525">
            <w:pPr>
              <w:spacing w:line="240" w:lineRule="auto"/>
            </w:pPr>
            <w:r w:rsidRPr="00007C05">
              <w:t>Capital financing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87DF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37E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5.5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5941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4.4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D406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4.0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0D9F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4.0</w:t>
            </w:r>
          </w:p>
        </w:tc>
      </w:tr>
      <w:tr w:rsidR="00007C05" w:rsidRPr="00007C05" w14:paraId="0E454966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857D6" w14:textId="77777777" w:rsidR="00007C05" w:rsidRPr="00007C05" w:rsidRDefault="00007C05" w:rsidP="00B45525">
            <w:pPr>
              <w:spacing w:line="240" w:lineRule="auto"/>
            </w:pPr>
            <w:r w:rsidRPr="00007C05">
              <w:t>Other costs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EA30E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(5.6)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222A9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(1.0)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8675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(2.5)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0519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(1.8)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5D19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(0.6)</w:t>
            </w:r>
          </w:p>
        </w:tc>
      </w:tr>
      <w:tr w:rsidR="00007C05" w:rsidRPr="00007C05" w14:paraId="450AEA08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777E" w14:textId="77777777" w:rsidR="00007C05" w:rsidRPr="00007C05" w:rsidRDefault="00007C05" w:rsidP="00B45525">
            <w:pPr>
              <w:spacing w:line="240" w:lineRule="auto"/>
            </w:pPr>
            <w:r w:rsidRPr="00007C05">
              <w:t>Income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E16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(32.5)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3B4F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(30.4)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082A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(42.9)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EB27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(46.7)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2456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(44.8)</w:t>
            </w:r>
          </w:p>
        </w:tc>
      </w:tr>
      <w:tr w:rsidR="00007C05" w:rsidRPr="00007C05" w14:paraId="653CBE85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1193C" w14:textId="77777777" w:rsidR="00007C05" w:rsidRPr="00007C05" w:rsidRDefault="00007C05" w:rsidP="00B45525">
            <w:pPr>
              <w:spacing w:line="240" w:lineRule="auto"/>
              <w:rPr>
                <w:b/>
                <w:bCs/>
              </w:rPr>
            </w:pPr>
            <w:r w:rsidRPr="00007C05">
              <w:rPr>
                <w:b/>
                <w:bCs/>
              </w:rPr>
              <w:t>Total Revenue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1F4F4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1,189.3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0C88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1,220.3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99B8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1,245.8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F94A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1,323.2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76BB" w14:textId="77777777" w:rsidR="00007C05" w:rsidRPr="00007C05" w:rsidRDefault="00007C05" w:rsidP="00B45525">
            <w:pPr>
              <w:spacing w:line="240" w:lineRule="auto"/>
              <w:jc w:val="both"/>
              <w:rPr>
                <w:b/>
                <w:bCs/>
              </w:rPr>
            </w:pPr>
            <w:r w:rsidRPr="00007C05">
              <w:rPr>
                <w:b/>
                <w:bCs/>
              </w:rPr>
              <w:t>1,393.7</w:t>
            </w:r>
          </w:p>
        </w:tc>
      </w:tr>
      <w:tr w:rsidR="00007C05" w:rsidRPr="00007C05" w14:paraId="74B13A48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5E54E" w14:textId="77777777" w:rsidR="00007C05" w:rsidRPr="00007C05" w:rsidRDefault="00007C05" w:rsidP="00B45525">
            <w:pPr>
              <w:spacing w:line="240" w:lineRule="auto"/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DE3D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CC27F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E5130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6A1D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C5E8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</w:tr>
      <w:tr w:rsidR="00007C05" w:rsidRPr="00007C05" w14:paraId="19098466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D6AA" w14:textId="77777777" w:rsidR="00007C05" w:rsidRPr="00007C05" w:rsidRDefault="00007C05" w:rsidP="00B45525">
            <w:pPr>
              <w:spacing w:line="240" w:lineRule="auto"/>
            </w:pPr>
            <w:r w:rsidRPr="00007C05">
              <w:t>Reform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9110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25.0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DED4A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25.0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03E0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25.0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99F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25.0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980A8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25.0</w:t>
            </w:r>
          </w:p>
        </w:tc>
      </w:tr>
      <w:tr w:rsidR="00007C05" w:rsidRPr="00007C05" w14:paraId="2E5E982B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0EF4" w14:textId="77777777" w:rsidR="00007C05" w:rsidRPr="00007C05" w:rsidRDefault="00007C05" w:rsidP="00B45525">
            <w:pPr>
              <w:spacing w:line="240" w:lineRule="auto"/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6E92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BF43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36094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F5B0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A5EAB" w14:textId="77777777" w:rsidR="00007C05" w:rsidRPr="00007C05" w:rsidRDefault="00007C05" w:rsidP="00B45525">
            <w:pPr>
              <w:spacing w:line="240" w:lineRule="auto"/>
              <w:jc w:val="both"/>
            </w:pPr>
          </w:p>
        </w:tc>
      </w:tr>
      <w:tr w:rsidR="00007C05" w:rsidRPr="00007C05" w14:paraId="479F1E3B" w14:textId="77777777" w:rsidTr="00B45525">
        <w:trPr>
          <w:trHeight w:val="34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07F7C" w14:textId="77777777" w:rsidR="00007C05" w:rsidRPr="00007C05" w:rsidRDefault="00007C05" w:rsidP="00B45525">
            <w:pPr>
              <w:spacing w:line="240" w:lineRule="auto"/>
            </w:pPr>
            <w:r w:rsidRPr="00007C05">
              <w:t>Capital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7BE64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51.7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F665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53.7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421A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52.6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CF3C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53.0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314D" w14:textId="77777777" w:rsidR="00007C05" w:rsidRPr="00007C05" w:rsidRDefault="00007C05" w:rsidP="00B45525">
            <w:pPr>
              <w:spacing w:line="240" w:lineRule="auto"/>
              <w:jc w:val="both"/>
            </w:pPr>
            <w:r w:rsidRPr="00007C05">
              <w:t>66.1</w:t>
            </w:r>
          </w:p>
        </w:tc>
      </w:tr>
    </w:tbl>
    <w:p w14:paraId="3E578D4F" w14:textId="77777777" w:rsidR="00007C05" w:rsidRPr="00007C05" w:rsidRDefault="00007C05" w:rsidP="00007C05">
      <w:pPr>
        <w:jc w:val="both"/>
      </w:pPr>
    </w:p>
    <w:p w14:paraId="61CC52BA" w14:textId="77777777" w:rsidR="00007C05" w:rsidRDefault="00007C05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63BB8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5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384A7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5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B9F3D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5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1EC88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5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76F2D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5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546F3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56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8525D"/>
    <w:multiLevelType w:val="hybridMultilevel"/>
    <w:tmpl w:val="6D5C0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6223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7C05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65CE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771C1"/>
    <w:rsid w:val="00685219"/>
    <w:rsid w:val="0069358B"/>
    <w:rsid w:val="006D5799"/>
    <w:rsid w:val="007440EA"/>
    <w:rsid w:val="00750D83"/>
    <w:rsid w:val="00772B03"/>
    <w:rsid w:val="00785DBC"/>
    <w:rsid w:val="00793DD5"/>
    <w:rsid w:val="007D55F6"/>
    <w:rsid w:val="007F490F"/>
    <w:rsid w:val="00816F77"/>
    <w:rsid w:val="0085086E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037C0"/>
    <w:rsid w:val="00B11A55"/>
    <w:rsid w:val="00B17211"/>
    <w:rsid w:val="00B45525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3924"/>
    <w:rsid w:val="00CF1111"/>
    <w:rsid w:val="00D05706"/>
    <w:rsid w:val="00D27DC5"/>
    <w:rsid w:val="00D47E36"/>
    <w:rsid w:val="00DB0EF2"/>
    <w:rsid w:val="00E55D79"/>
    <w:rsid w:val="00E84566"/>
    <w:rsid w:val="00ED1816"/>
    <w:rsid w:val="00EE2373"/>
    <w:rsid w:val="00EF0FBB"/>
    <w:rsid w:val="00EF4761"/>
    <w:rsid w:val="00F41511"/>
    <w:rsid w:val="00F9233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563</Words>
  <Characters>3211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