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C9EAC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A72BF">
              <w:t>3289</w:t>
            </w:r>
          </w:p>
          <w:p w14:paraId="34BDABA6" w14:textId="0ACB61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77EB">
              <w:t>2</w:t>
            </w:r>
            <w:r w:rsidR="00B166B6">
              <w:t>9</w:t>
            </w:r>
            <w:r w:rsidR="006B77EB">
              <w:t xml:space="preserve"> </w:t>
            </w:r>
            <w:r w:rsidR="00E80DBB">
              <w:t>January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E39D49" w14:textId="3B168350" w:rsidR="006B77EB" w:rsidRDefault="006B77EB" w:rsidP="006B77EB">
      <w:pPr>
        <w:pStyle w:val="Heading2"/>
      </w:pPr>
      <w:r>
        <w:t>The number of individuals charged and cautioned (officially accused) with drug-related crimes in the Wyndford area of Glasgow (</w:t>
      </w:r>
      <w:proofErr w:type="spellStart"/>
      <w:r>
        <w:t>Kelvindale</w:t>
      </w:r>
      <w:proofErr w:type="spellEnd"/>
      <w:r>
        <w:t xml:space="preserve"> Road, Fogo Place, Glenfinnan Road, Strathy Place, Glenfinnan Place, </w:t>
      </w:r>
      <w:proofErr w:type="spellStart"/>
      <w:r>
        <w:t>Carrbridge</w:t>
      </w:r>
      <w:proofErr w:type="spellEnd"/>
      <w:r>
        <w:t xml:space="preserve"> Drive, Glenfinnan Drive, Towie Place, </w:t>
      </w:r>
      <w:proofErr w:type="spellStart"/>
      <w:r>
        <w:t>Invershin</w:t>
      </w:r>
      <w:proofErr w:type="spellEnd"/>
      <w:r>
        <w:t xml:space="preserve"> Drive, Wyndford Road, </w:t>
      </w:r>
      <w:proofErr w:type="spellStart"/>
      <w:r>
        <w:t>Latherton</w:t>
      </w:r>
      <w:proofErr w:type="spellEnd"/>
      <w:r>
        <w:t xml:space="preserve"> Drive, Beauly Place, Wyndford Drive)</w:t>
      </w:r>
      <w:r w:rsidR="00F002E0">
        <w:t xml:space="preserve">.  </w:t>
      </w:r>
      <w:r>
        <w:t>I would like this information during these time periods:</w:t>
      </w:r>
    </w:p>
    <w:p w14:paraId="3F15BFCE" w14:textId="77777777" w:rsidR="006B77EB" w:rsidRDefault="006B77EB" w:rsidP="00C04F3A">
      <w:pPr>
        <w:pStyle w:val="Heading2"/>
        <w:spacing w:line="276" w:lineRule="auto"/>
      </w:pPr>
      <w:r>
        <w:t xml:space="preserve">- from January 1, 2023 – October 31, 2023, </w:t>
      </w:r>
    </w:p>
    <w:p w14:paraId="406C0F59" w14:textId="77777777" w:rsidR="006B77EB" w:rsidRDefault="006B77EB" w:rsidP="00C04F3A">
      <w:pPr>
        <w:pStyle w:val="Heading2"/>
        <w:spacing w:line="276" w:lineRule="auto"/>
      </w:pPr>
      <w:r>
        <w:t>- from January 1, 2022 – December 31, 2022,</w:t>
      </w:r>
    </w:p>
    <w:p w14:paraId="0C95B2D6" w14:textId="77777777" w:rsidR="006B77EB" w:rsidRDefault="006B77EB" w:rsidP="00C04F3A">
      <w:pPr>
        <w:pStyle w:val="Heading2"/>
        <w:spacing w:line="276" w:lineRule="auto"/>
      </w:pPr>
      <w:r>
        <w:t xml:space="preserve">- from January 1, 2021 – December 31, 2021, </w:t>
      </w:r>
    </w:p>
    <w:p w14:paraId="65FA65A0" w14:textId="77777777" w:rsidR="006B77EB" w:rsidRDefault="006B77EB" w:rsidP="00C04F3A">
      <w:pPr>
        <w:pStyle w:val="Heading2"/>
      </w:pPr>
      <w:r>
        <w:t>- from January 1, 2020 – December 31, 2020.</w:t>
      </w:r>
    </w:p>
    <w:p w14:paraId="1A899FFE" w14:textId="3C3E4550" w:rsidR="00C04F3A" w:rsidRDefault="000E5EA2" w:rsidP="00793DD5">
      <w:pPr>
        <w:tabs>
          <w:tab w:val="left" w:pos="5400"/>
        </w:tabs>
      </w:pPr>
      <w:r>
        <w:t>The table below</w:t>
      </w:r>
      <w:r w:rsidR="006B77EB">
        <w:t xml:space="preserve"> </w:t>
      </w:r>
      <w:r w:rsidR="000535D4">
        <w:t>detail</w:t>
      </w:r>
      <w:r>
        <w:t>s</w:t>
      </w:r>
      <w:r w:rsidR="000535D4">
        <w:t xml:space="preserve"> all detected drugs offences at the locus described</w:t>
      </w:r>
      <w:r w:rsidR="00F002E0">
        <w:t xml:space="preserve"> for the period </w:t>
      </w:r>
      <w:r w:rsidR="00F002E0" w:rsidRPr="006B77EB">
        <w:t xml:space="preserve">1 January 2020 to 31st October 2023 </w:t>
      </w:r>
      <w:r w:rsidR="00F002E0">
        <w:t>i</w:t>
      </w:r>
      <w:r w:rsidR="00F002E0" w:rsidRPr="006B77EB">
        <w:t>nclusive</w:t>
      </w:r>
      <w:r w:rsidR="00F002E0">
        <w:t>.</w:t>
      </w:r>
    </w:p>
    <w:p w14:paraId="1CEBEF30" w14:textId="2AF98943" w:rsidR="00F002E0" w:rsidRDefault="000E5EA2" w:rsidP="00F002E0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3"/>
        <w:gridCol w:w="884"/>
        <w:gridCol w:w="750"/>
        <w:gridCol w:w="750"/>
        <w:gridCol w:w="750"/>
        <w:gridCol w:w="923"/>
      </w:tblGrid>
      <w:tr w:rsidR="00F002E0" w:rsidRPr="000535D4" w14:paraId="1376E1F6" w14:textId="77777777" w:rsidTr="00204552">
        <w:trPr>
          <w:trHeight w:val="300"/>
        </w:trPr>
        <w:tc>
          <w:tcPr>
            <w:tcW w:w="5313" w:type="dxa"/>
            <w:shd w:val="clear" w:color="auto" w:fill="D9D9D9" w:themeFill="background1" w:themeFillShade="D9"/>
            <w:noWrap/>
            <w:hideMark/>
          </w:tcPr>
          <w:p w14:paraId="2243B9CA" w14:textId="77777777" w:rsidR="00F002E0" w:rsidRPr="000535D4" w:rsidRDefault="00F002E0" w:rsidP="0020455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Crime Classification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hideMark/>
          </w:tcPr>
          <w:p w14:paraId="1B3B3A73" w14:textId="77777777" w:rsidR="00F002E0" w:rsidRPr="000535D4" w:rsidRDefault="00F002E0" w:rsidP="00204552">
            <w:pPr>
              <w:spacing w:line="276" w:lineRule="auto"/>
              <w:rPr>
                <w:b/>
                <w:bCs/>
              </w:rPr>
            </w:pPr>
            <w:r w:rsidRPr="000535D4">
              <w:rPr>
                <w:b/>
                <w:bCs/>
              </w:rP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4A3E0CDE" w14:textId="77777777" w:rsidR="00F002E0" w:rsidRPr="000535D4" w:rsidRDefault="00F002E0" w:rsidP="00204552">
            <w:pPr>
              <w:spacing w:line="276" w:lineRule="auto"/>
              <w:rPr>
                <w:b/>
                <w:bCs/>
              </w:rPr>
            </w:pPr>
            <w:r w:rsidRPr="000535D4">
              <w:rPr>
                <w:b/>
                <w:bCs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4980783D" w14:textId="77777777" w:rsidR="00F002E0" w:rsidRPr="000535D4" w:rsidRDefault="00F002E0" w:rsidP="00204552">
            <w:pPr>
              <w:spacing w:line="276" w:lineRule="auto"/>
              <w:rPr>
                <w:b/>
                <w:bCs/>
              </w:rPr>
            </w:pPr>
            <w:r w:rsidRPr="000535D4">
              <w:rPr>
                <w:b/>
                <w:bCs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6091A2F6" w14:textId="77777777" w:rsidR="00F002E0" w:rsidRPr="000535D4" w:rsidRDefault="00F002E0" w:rsidP="00204552">
            <w:pPr>
              <w:spacing w:line="276" w:lineRule="auto"/>
              <w:rPr>
                <w:b/>
                <w:bCs/>
              </w:rPr>
            </w:pPr>
            <w:r w:rsidRPr="000535D4">
              <w:rPr>
                <w:b/>
                <w:bCs/>
              </w:rPr>
              <w:t>2023</w:t>
            </w:r>
          </w:p>
        </w:tc>
        <w:tc>
          <w:tcPr>
            <w:tcW w:w="923" w:type="dxa"/>
            <w:shd w:val="clear" w:color="auto" w:fill="D9D9D9" w:themeFill="background1" w:themeFillShade="D9"/>
            <w:noWrap/>
            <w:hideMark/>
          </w:tcPr>
          <w:p w14:paraId="4E25994C" w14:textId="77777777" w:rsidR="00F002E0" w:rsidRPr="000535D4" w:rsidRDefault="00F002E0" w:rsidP="00204552">
            <w:pPr>
              <w:spacing w:line="276" w:lineRule="auto"/>
              <w:rPr>
                <w:b/>
                <w:bCs/>
              </w:rPr>
            </w:pPr>
            <w:r w:rsidRPr="000535D4">
              <w:rPr>
                <w:b/>
                <w:bCs/>
              </w:rPr>
              <w:t>Total</w:t>
            </w:r>
          </w:p>
        </w:tc>
      </w:tr>
      <w:tr w:rsidR="00F002E0" w:rsidRPr="000535D4" w14:paraId="73D0A0DD" w14:textId="77777777" w:rsidTr="00204552">
        <w:trPr>
          <w:trHeight w:val="300"/>
        </w:trPr>
        <w:tc>
          <w:tcPr>
            <w:tcW w:w="5313" w:type="dxa"/>
            <w:noWrap/>
            <w:hideMark/>
          </w:tcPr>
          <w:p w14:paraId="52C75CAE" w14:textId="77777777" w:rsidR="00F002E0" w:rsidRPr="000535D4" w:rsidRDefault="00F002E0" w:rsidP="00204552">
            <w:pPr>
              <w:spacing w:line="276" w:lineRule="auto"/>
            </w:pPr>
            <w:r w:rsidRPr="000535D4">
              <w:t>Possession of drugs</w:t>
            </w:r>
          </w:p>
        </w:tc>
        <w:tc>
          <w:tcPr>
            <w:tcW w:w="884" w:type="dxa"/>
            <w:noWrap/>
            <w:hideMark/>
          </w:tcPr>
          <w:p w14:paraId="453B4F89" w14:textId="77777777" w:rsidR="00F002E0" w:rsidRPr="000535D4" w:rsidRDefault="00F002E0" w:rsidP="00204552">
            <w:pPr>
              <w:spacing w:line="276" w:lineRule="auto"/>
            </w:pPr>
            <w:r w:rsidRPr="000535D4">
              <w:t>79</w:t>
            </w:r>
          </w:p>
        </w:tc>
        <w:tc>
          <w:tcPr>
            <w:tcW w:w="750" w:type="dxa"/>
            <w:noWrap/>
            <w:hideMark/>
          </w:tcPr>
          <w:p w14:paraId="0F6709D2" w14:textId="77777777" w:rsidR="00F002E0" w:rsidRPr="000535D4" w:rsidRDefault="00F002E0" w:rsidP="00204552">
            <w:pPr>
              <w:spacing w:line="276" w:lineRule="auto"/>
            </w:pPr>
            <w:r w:rsidRPr="000535D4">
              <w:t>48</w:t>
            </w:r>
          </w:p>
        </w:tc>
        <w:tc>
          <w:tcPr>
            <w:tcW w:w="750" w:type="dxa"/>
            <w:noWrap/>
            <w:hideMark/>
          </w:tcPr>
          <w:p w14:paraId="7EF088F7" w14:textId="77777777" w:rsidR="00F002E0" w:rsidRPr="000535D4" w:rsidRDefault="00F002E0" w:rsidP="00204552">
            <w:pPr>
              <w:spacing w:line="276" w:lineRule="auto"/>
            </w:pPr>
            <w:r w:rsidRPr="000535D4">
              <w:t>33</w:t>
            </w:r>
          </w:p>
        </w:tc>
        <w:tc>
          <w:tcPr>
            <w:tcW w:w="750" w:type="dxa"/>
            <w:noWrap/>
            <w:hideMark/>
          </w:tcPr>
          <w:p w14:paraId="6CC3571A" w14:textId="77777777" w:rsidR="00F002E0" w:rsidRPr="000535D4" w:rsidRDefault="00F002E0" w:rsidP="00204552">
            <w:pPr>
              <w:spacing w:line="276" w:lineRule="auto"/>
            </w:pPr>
            <w:r w:rsidRPr="000535D4">
              <w:t>19</w:t>
            </w:r>
          </w:p>
        </w:tc>
        <w:tc>
          <w:tcPr>
            <w:tcW w:w="923" w:type="dxa"/>
            <w:noWrap/>
            <w:hideMark/>
          </w:tcPr>
          <w:p w14:paraId="1CF16587" w14:textId="77777777" w:rsidR="00F002E0" w:rsidRPr="000535D4" w:rsidRDefault="00F002E0" w:rsidP="00204552">
            <w:pPr>
              <w:spacing w:line="276" w:lineRule="auto"/>
            </w:pPr>
            <w:r w:rsidRPr="000535D4">
              <w:t>179</w:t>
            </w:r>
          </w:p>
        </w:tc>
      </w:tr>
      <w:tr w:rsidR="00F002E0" w:rsidRPr="000535D4" w14:paraId="11E176EF" w14:textId="77777777" w:rsidTr="00204552">
        <w:trPr>
          <w:trHeight w:val="300"/>
        </w:trPr>
        <w:tc>
          <w:tcPr>
            <w:tcW w:w="5313" w:type="dxa"/>
            <w:noWrap/>
            <w:hideMark/>
          </w:tcPr>
          <w:p w14:paraId="25B840AA" w14:textId="77777777" w:rsidR="00F002E0" w:rsidRPr="000535D4" w:rsidRDefault="00F002E0" w:rsidP="00204552">
            <w:pPr>
              <w:spacing w:line="276" w:lineRule="auto"/>
            </w:pPr>
            <w:r w:rsidRPr="000535D4">
              <w:t xml:space="preserve">Production, </w:t>
            </w:r>
            <w:proofErr w:type="gramStart"/>
            <w:r w:rsidRPr="000535D4">
              <w:t>manufacture</w:t>
            </w:r>
            <w:proofErr w:type="gramEnd"/>
            <w:r w:rsidRPr="000535D4">
              <w:t xml:space="preserve"> or cultivation of drugs</w:t>
            </w:r>
          </w:p>
        </w:tc>
        <w:tc>
          <w:tcPr>
            <w:tcW w:w="884" w:type="dxa"/>
            <w:noWrap/>
            <w:hideMark/>
          </w:tcPr>
          <w:p w14:paraId="28956F55" w14:textId="77777777" w:rsidR="00F002E0" w:rsidRPr="000535D4" w:rsidRDefault="00F002E0" w:rsidP="00204552">
            <w:pPr>
              <w:spacing w:line="276" w:lineRule="auto"/>
            </w:pPr>
            <w:r w:rsidRPr="000535D4">
              <w:t>1</w:t>
            </w:r>
          </w:p>
        </w:tc>
        <w:tc>
          <w:tcPr>
            <w:tcW w:w="750" w:type="dxa"/>
            <w:noWrap/>
            <w:hideMark/>
          </w:tcPr>
          <w:p w14:paraId="07DCE4DA" w14:textId="77777777" w:rsidR="00F002E0" w:rsidRPr="000535D4" w:rsidRDefault="00F002E0" w:rsidP="00204552">
            <w:pPr>
              <w:spacing w:line="276" w:lineRule="auto"/>
            </w:pPr>
            <w:r w:rsidRPr="000535D4">
              <w:t>1</w:t>
            </w:r>
          </w:p>
        </w:tc>
        <w:tc>
          <w:tcPr>
            <w:tcW w:w="750" w:type="dxa"/>
            <w:noWrap/>
            <w:hideMark/>
          </w:tcPr>
          <w:p w14:paraId="404431EC" w14:textId="77777777" w:rsidR="00F002E0" w:rsidRPr="000535D4" w:rsidRDefault="00F002E0" w:rsidP="00204552">
            <w:pPr>
              <w:spacing w:line="276" w:lineRule="auto"/>
            </w:pPr>
          </w:p>
        </w:tc>
        <w:tc>
          <w:tcPr>
            <w:tcW w:w="750" w:type="dxa"/>
            <w:noWrap/>
            <w:hideMark/>
          </w:tcPr>
          <w:p w14:paraId="133C0374" w14:textId="77777777" w:rsidR="00F002E0" w:rsidRPr="000535D4" w:rsidRDefault="00F002E0" w:rsidP="00204552">
            <w:pPr>
              <w:spacing w:line="276" w:lineRule="auto"/>
            </w:pPr>
          </w:p>
        </w:tc>
        <w:tc>
          <w:tcPr>
            <w:tcW w:w="923" w:type="dxa"/>
            <w:noWrap/>
            <w:hideMark/>
          </w:tcPr>
          <w:p w14:paraId="005D2F05" w14:textId="77777777" w:rsidR="00F002E0" w:rsidRPr="000535D4" w:rsidRDefault="00F002E0" w:rsidP="00204552">
            <w:pPr>
              <w:spacing w:line="276" w:lineRule="auto"/>
            </w:pPr>
            <w:r w:rsidRPr="000535D4">
              <w:t>2</w:t>
            </w:r>
          </w:p>
        </w:tc>
      </w:tr>
      <w:tr w:rsidR="00F002E0" w:rsidRPr="000535D4" w14:paraId="123F8EB0" w14:textId="77777777" w:rsidTr="00204552">
        <w:trPr>
          <w:trHeight w:val="300"/>
        </w:trPr>
        <w:tc>
          <w:tcPr>
            <w:tcW w:w="5313" w:type="dxa"/>
            <w:noWrap/>
            <w:hideMark/>
          </w:tcPr>
          <w:p w14:paraId="119C776F" w14:textId="77777777" w:rsidR="00F002E0" w:rsidRPr="000535D4" w:rsidRDefault="00F002E0" w:rsidP="00204552">
            <w:pPr>
              <w:spacing w:line="276" w:lineRule="auto"/>
            </w:pPr>
            <w:r w:rsidRPr="000535D4">
              <w:t>Supply of Drugs incl. possess with intent</w:t>
            </w:r>
          </w:p>
        </w:tc>
        <w:tc>
          <w:tcPr>
            <w:tcW w:w="884" w:type="dxa"/>
            <w:noWrap/>
            <w:hideMark/>
          </w:tcPr>
          <w:p w14:paraId="3A9E9F8B" w14:textId="77777777" w:rsidR="00F002E0" w:rsidRPr="000535D4" w:rsidRDefault="00F002E0" w:rsidP="00204552">
            <w:pPr>
              <w:spacing w:line="276" w:lineRule="auto"/>
            </w:pPr>
            <w:r w:rsidRPr="000535D4">
              <w:t>14</w:t>
            </w:r>
          </w:p>
        </w:tc>
        <w:tc>
          <w:tcPr>
            <w:tcW w:w="750" w:type="dxa"/>
            <w:noWrap/>
            <w:hideMark/>
          </w:tcPr>
          <w:p w14:paraId="725B68B2" w14:textId="77777777" w:rsidR="00F002E0" w:rsidRPr="000535D4" w:rsidRDefault="00F002E0" w:rsidP="00204552">
            <w:pPr>
              <w:spacing w:line="276" w:lineRule="auto"/>
            </w:pPr>
            <w:r w:rsidRPr="000535D4">
              <w:t>5</w:t>
            </w:r>
          </w:p>
        </w:tc>
        <w:tc>
          <w:tcPr>
            <w:tcW w:w="750" w:type="dxa"/>
            <w:noWrap/>
            <w:hideMark/>
          </w:tcPr>
          <w:p w14:paraId="37CC78D7" w14:textId="77777777" w:rsidR="00F002E0" w:rsidRPr="000535D4" w:rsidRDefault="00F002E0" w:rsidP="00204552">
            <w:pPr>
              <w:spacing w:line="276" w:lineRule="auto"/>
            </w:pPr>
            <w:r w:rsidRPr="000535D4">
              <w:t>2</w:t>
            </w:r>
          </w:p>
        </w:tc>
        <w:tc>
          <w:tcPr>
            <w:tcW w:w="750" w:type="dxa"/>
            <w:noWrap/>
            <w:hideMark/>
          </w:tcPr>
          <w:p w14:paraId="3A449377" w14:textId="77777777" w:rsidR="00F002E0" w:rsidRPr="000535D4" w:rsidRDefault="00F002E0" w:rsidP="00204552">
            <w:pPr>
              <w:spacing w:line="276" w:lineRule="auto"/>
            </w:pPr>
          </w:p>
        </w:tc>
        <w:tc>
          <w:tcPr>
            <w:tcW w:w="923" w:type="dxa"/>
            <w:noWrap/>
            <w:hideMark/>
          </w:tcPr>
          <w:p w14:paraId="73DA2161" w14:textId="77777777" w:rsidR="00F002E0" w:rsidRPr="000535D4" w:rsidRDefault="00F002E0" w:rsidP="00204552">
            <w:pPr>
              <w:spacing w:line="276" w:lineRule="auto"/>
            </w:pPr>
            <w:r w:rsidRPr="000535D4">
              <w:t>21</w:t>
            </w:r>
          </w:p>
        </w:tc>
      </w:tr>
      <w:tr w:rsidR="00F002E0" w:rsidRPr="000E5EA2" w14:paraId="04407194" w14:textId="77777777" w:rsidTr="00204552">
        <w:trPr>
          <w:trHeight w:val="300"/>
        </w:trPr>
        <w:tc>
          <w:tcPr>
            <w:tcW w:w="5313" w:type="dxa"/>
            <w:noWrap/>
            <w:hideMark/>
          </w:tcPr>
          <w:p w14:paraId="2B51A093" w14:textId="77777777" w:rsidR="00F002E0" w:rsidRPr="000E5EA2" w:rsidRDefault="00F002E0" w:rsidP="00204552">
            <w:pPr>
              <w:spacing w:line="276" w:lineRule="auto"/>
            </w:pPr>
            <w:r w:rsidRPr="000E5EA2">
              <w:t>Total</w:t>
            </w:r>
          </w:p>
        </w:tc>
        <w:tc>
          <w:tcPr>
            <w:tcW w:w="884" w:type="dxa"/>
            <w:noWrap/>
            <w:hideMark/>
          </w:tcPr>
          <w:p w14:paraId="7589E870" w14:textId="77777777" w:rsidR="00F002E0" w:rsidRPr="000E5EA2" w:rsidRDefault="00F002E0" w:rsidP="00204552">
            <w:pPr>
              <w:spacing w:line="276" w:lineRule="auto"/>
            </w:pPr>
            <w:r w:rsidRPr="000E5EA2">
              <w:t>94</w:t>
            </w:r>
          </w:p>
        </w:tc>
        <w:tc>
          <w:tcPr>
            <w:tcW w:w="750" w:type="dxa"/>
            <w:noWrap/>
            <w:hideMark/>
          </w:tcPr>
          <w:p w14:paraId="46A70401" w14:textId="77777777" w:rsidR="00F002E0" w:rsidRPr="000E5EA2" w:rsidRDefault="00F002E0" w:rsidP="00204552">
            <w:pPr>
              <w:spacing w:line="276" w:lineRule="auto"/>
            </w:pPr>
            <w:r w:rsidRPr="000E5EA2">
              <w:t>54</w:t>
            </w:r>
          </w:p>
        </w:tc>
        <w:tc>
          <w:tcPr>
            <w:tcW w:w="750" w:type="dxa"/>
            <w:noWrap/>
            <w:hideMark/>
          </w:tcPr>
          <w:p w14:paraId="105162D2" w14:textId="77777777" w:rsidR="00F002E0" w:rsidRPr="000E5EA2" w:rsidRDefault="00F002E0" w:rsidP="00204552">
            <w:pPr>
              <w:spacing w:line="276" w:lineRule="auto"/>
            </w:pPr>
            <w:r w:rsidRPr="000E5EA2">
              <w:t>35</w:t>
            </w:r>
          </w:p>
        </w:tc>
        <w:tc>
          <w:tcPr>
            <w:tcW w:w="750" w:type="dxa"/>
            <w:noWrap/>
            <w:hideMark/>
          </w:tcPr>
          <w:p w14:paraId="1D48DE92" w14:textId="77777777" w:rsidR="00F002E0" w:rsidRPr="000E5EA2" w:rsidRDefault="00F002E0" w:rsidP="00204552">
            <w:pPr>
              <w:spacing w:line="276" w:lineRule="auto"/>
            </w:pPr>
            <w:r w:rsidRPr="000E5EA2">
              <w:t>19</w:t>
            </w:r>
          </w:p>
        </w:tc>
        <w:tc>
          <w:tcPr>
            <w:tcW w:w="923" w:type="dxa"/>
            <w:noWrap/>
            <w:hideMark/>
          </w:tcPr>
          <w:p w14:paraId="0F8F3712" w14:textId="77777777" w:rsidR="00F002E0" w:rsidRPr="000E5EA2" w:rsidRDefault="00F002E0" w:rsidP="00204552">
            <w:pPr>
              <w:spacing w:line="276" w:lineRule="auto"/>
            </w:pPr>
            <w:r w:rsidRPr="000E5EA2">
              <w:t>202</w:t>
            </w:r>
          </w:p>
        </w:tc>
      </w:tr>
    </w:tbl>
    <w:p w14:paraId="5CC616D9" w14:textId="77777777" w:rsidR="00F002E0" w:rsidRPr="00C04F3A" w:rsidRDefault="00F002E0" w:rsidP="00F002E0">
      <w:pPr>
        <w:rPr>
          <w:i/>
          <w:iCs/>
          <w:sz w:val="20"/>
          <w:szCs w:val="20"/>
        </w:rPr>
      </w:pPr>
      <w:r w:rsidRPr="00C04F3A">
        <w:rPr>
          <w:i/>
          <w:iCs/>
          <w:sz w:val="20"/>
          <w:szCs w:val="20"/>
        </w:rPr>
        <w:t xml:space="preserve">All statistics are provisional and should be treated as management information. </w:t>
      </w:r>
      <w:r>
        <w:rPr>
          <w:i/>
          <w:iCs/>
          <w:sz w:val="20"/>
          <w:szCs w:val="20"/>
        </w:rPr>
        <w:br/>
      </w:r>
      <w:r w:rsidRPr="00C04F3A">
        <w:rPr>
          <w:i/>
          <w:iCs/>
          <w:sz w:val="20"/>
          <w:szCs w:val="20"/>
        </w:rPr>
        <w:t>All data have been extracted from Police Scotland internal systems</w:t>
      </w:r>
      <w:r>
        <w:rPr>
          <w:i/>
          <w:iCs/>
          <w:sz w:val="20"/>
          <w:szCs w:val="20"/>
        </w:rPr>
        <w:t xml:space="preserve"> </w:t>
      </w:r>
      <w:r w:rsidRPr="00C04F3A">
        <w:rPr>
          <w:i/>
          <w:iCs/>
          <w:sz w:val="20"/>
          <w:szCs w:val="20"/>
        </w:rPr>
        <w:t>and are correct as at 23/1/2024.</w:t>
      </w:r>
    </w:p>
    <w:p w14:paraId="36677D7E" w14:textId="77777777" w:rsidR="00F002E0" w:rsidRPr="00C04F3A" w:rsidRDefault="00F002E0" w:rsidP="00F002E0">
      <w:pPr>
        <w:rPr>
          <w:i/>
          <w:iCs/>
          <w:sz w:val="20"/>
          <w:szCs w:val="20"/>
        </w:rPr>
      </w:pPr>
      <w:r w:rsidRPr="00C04F3A">
        <w:rPr>
          <w:i/>
          <w:iCs/>
          <w:sz w:val="20"/>
          <w:szCs w:val="20"/>
        </w:rPr>
        <w:t>1. The data was extracted using the crime's raised date and by using all SGJD codes between 504401 and 504499 and selecting Beats 'BE71' and 'BE72' within Greater Glasgow Division.</w:t>
      </w:r>
    </w:p>
    <w:p w14:paraId="3B460B83" w14:textId="77777777" w:rsidR="00F002E0" w:rsidRPr="00C04F3A" w:rsidRDefault="00F002E0" w:rsidP="00F002E0">
      <w:pPr>
        <w:rPr>
          <w:i/>
          <w:iCs/>
          <w:sz w:val="20"/>
          <w:szCs w:val="20"/>
        </w:rPr>
      </w:pPr>
      <w:r w:rsidRPr="00C04F3A">
        <w:rPr>
          <w:i/>
          <w:iCs/>
          <w:sz w:val="20"/>
          <w:szCs w:val="20"/>
        </w:rPr>
        <w:lastRenderedPageBreak/>
        <w:t>2. Keyword search was carried out for '</w:t>
      </w:r>
      <w:proofErr w:type="spellStart"/>
      <w:r w:rsidRPr="00C04F3A">
        <w:rPr>
          <w:i/>
          <w:iCs/>
          <w:sz w:val="20"/>
          <w:szCs w:val="20"/>
        </w:rPr>
        <w:t>Kelvindale</w:t>
      </w:r>
      <w:proofErr w:type="spellEnd"/>
      <w:r w:rsidRPr="00C04F3A">
        <w:rPr>
          <w:i/>
          <w:iCs/>
          <w:sz w:val="20"/>
          <w:szCs w:val="20"/>
        </w:rPr>
        <w:t xml:space="preserve"> Road', 'Fogo Place', 'Glenfinnan Road', 'Strathy Place', 'Glanfinnan Place', '</w:t>
      </w:r>
      <w:proofErr w:type="spellStart"/>
      <w:r w:rsidRPr="00C04F3A">
        <w:rPr>
          <w:i/>
          <w:iCs/>
          <w:sz w:val="20"/>
          <w:szCs w:val="20"/>
        </w:rPr>
        <w:t>Carrbridge</w:t>
      </w:r>
      <w:proofErr w:type="spellEnd"/>
      <w:r w:rsidRPr="00C04F3A">
        <w:rPr>
          <w:i/>
          <w:iCs/>
          <w:sz w:val="20"/>
          <w:szCs w:val="20"/>
        </w:rPr>
        <w:t xml:space="preserve"> Drive</w:t>
      </w:r>
      <w:proofErr w:type="gramStart"/>
      <w:r w:rsidRPr="00C04F3A">
        <w:rPr>
          <w:i/>
          <w:iCs/>
          <w:sz w:val="20"/>
          <w:szCs w:val="20"/>
        </w:rPr>
        <w:t>',</w:t>
      </w:r>
      <w:r>
        <w:rPr>
          <w:i/>
          <w:iCs/>
          <w:sz w:val="20"/>
          <w:szCs w:val="20"/>
        </w:rPr>
        <w:t xml:space="preserve"> </w:t>
      </w:r>
      <w:r w:rsidRPr="00C04F3A">
        <w:rPr>
          <w:i/>
          <w:iCs/>
          <w:sz w:val="20"/>
          <w:szCs w:val="20"/>
        </w:rPr>
        <w:t xml:space="preserve"> '</w:t>
      </w:r>
      <w:proofErr w:type="gramEnd"/>
      <w:r w:rsidRPr="00C04F3A">
        <w:rPr>
          <w:i/>
          <w:iCs/>
          <w:sz w:val="20"/>
          <w:szCs w:val="20"/>
        </w:rPr>
        <w:t>Glenfinnan Drive', 'Towie Place', '</w:t>
      </w:r>
      <w:proofErr w:type="spellStart"/>
      <w:r w:rsidRPr="00C04F3A">
        <w:rPr>
          <w:i/>
          <w:iCs/>
          <w:sz w:val="20"/>
          <w:szCs w:val="20"/>
        </w:rPr>
        <w:t>Invershin</w:t>
      </w:r>
      <w:proofErr w:type="spellEnd"/>
      <w:r w:rsidRPr="00C04F3A">
        <w:rPr>
          <w:i/>
          <w:iCs/>
          <w:sz w:val="20"/>
          <w:szCs w:val="20"/>
        </w:rPr>
        <w:t xml:space="preserve"> Drive', 'Wyndford Road', '</w:t>
      </w:r>
      <w:proofErr w:type="spellStart"/>
      <w:r w:rsidRPr="00C04F3A">
        <w:rPr>
          <w:i/>
          <w:iCs/>
          <w:sz w:val="20"/>
          <w:szCs w:val="20"/>
        </w:rPr>
        <w:t>Latherton</w:t>
      </w:r>
      <w:proofErr w:type="spellEnd"/>
      <w:r w:rsidRPr="00C04F3A">
        <w:rPr>
          <w:i/>
          <w:iCs/>
          <w:sz w:val="20"/>
          <w:szCs w:val="20"/>
        </w:rPr>
        <w:t xml:space="preserve"> Drive', 'Beauly Place' and 'Wynford Drive'  within the Crime's Road variable to identify the relevant records.</w:t>
      </w:r>
    </w:p>
    <w:p w14:paraId="09347809" w14:textId="77777777" w:rsidR="00F002E0" w:rsidRPr="00C04F3A" w:rsidRDefault="00F002E0" w:rsidP="00F002E0">
      <w:pPr>
        <w:rPr>
          <w:i/>
          <w:iCs/>
          <w:sz w:val="20"/>
          <w:szCs w:val="20"/>
        </w:rPr>
      </w:pPr>
      <w:r w:rsidRPr="00C04F3A">
        <w:rPr>
          <w:i/>
          <w:iCs/>
          <w:sz w:val="20"/>
          <w:szCs w:val="20"/>
        </w:rPr>
        <w:t>3. Please note, each record will need to be read to confirm the circumstances and location.</w:t>
      </w:r>
    </w:p>
    <w:p w14:paraId="3CEDA3C6" w14:textId="77777777" w:rsidR="00F002E0" w:rsidRPr="00C04F3A" w:rsidRDefault="00F002E0" w:rsidP="00F002E0">
      <w:pPr>
        <w:rPr>
          <w:i/>
          <w:iCs/>
          <w:sz w:val="20"/>
          <w:szCs w:val="20"/>
        </w:rPr>
      </w:pPr>
      <w:r w:rsidRPr="00C04F3A">
        <w:rPr>
          <w:i/>
          <w:iCs/>
          <w:sz w:val="20"/>
          <w:szCs w:val="20"/>
        </w:rPr>
        <w:t>4. Please note - No results were returned for 'Strathy Place', 'Glenfinnan Place', 'Towie Place', or 'Beauly Place'.</w:t>
      </w:r>
      <w:r w:rsidRPr="00C04F3A">
        <w:rPr>
          <w:i/>
          <w:iCs/>
          <w:sz w:val="20"/>
          <w:szCs w:val="20"/>
        </w:rPr>
        <w:tab/>
      </w:r>
      <w:r w:rsidRPr="00C04F3A">
        <w:rPr>
          <w:i/>
          <w:iCs/>
          <w:sz w:val="20"/>
          <w:szCs w:val="20"/>
        </w:rPr>
        <w:tab/>
      </w:r>
      <w:r w:rsidRPr="00C04F3A">
        <w:rPr>
          <w:i/>
          <w:iCs/>
          <w:sz w:val="20"/>
          <w:szCs w:val="20"/>
        </w:rPr>
        <w:tab/>
      </w:r>
      <w:r w:rsidRPr="00C04F3A">
        <w:rPr>
          <w:i/>
          <w:iCs/>
          <w:sz w:val="20"/>
          <w:szCs w:val="20"/>
        </w:rPr>
        <w:tab/>
      </w:r>
    </w:p>
    <w:p w14:paraId="08876FFE" w14:textId="77777777" w:rsidR="000535D4" w:rsidRDefault="000535D4" w:rsidP="00793DD5">
      <w:pPr>
        <w:tabs>
          <w:tab w:val="left" w:pos="5400"/>
        </w:tabs>
      </w:pPr>
    </w:p>
    <w:p w14:paraId="616BBE05" w14:textId="77777777" w:rsidR="00BB714D" w:rsidRDefault="00BB714D" w:rsidP="00BB714D">
      <w:pPr>
        <w:pStyle w:val="Heading2"/>
      </w:pPr>
      <w:r>
        <w:t xml:space="preserve">How many of these individuals were under the age of 16. </w:t>
      </w:r>
    </w:p>
    <w:p w14:paraId="79523297" w14:textId="5550B7AC" w:rsidR="00BB714D" w:rsidRDefault="000535D4" w:rsidP="00793DD5">
      <w:pPr>
        <w:tabs>
          <w:tab w:val="left" w:pos="5400"/>
        </w:tabs>
      </w:pPr>
      <w:r>
        <w:t xml:space="preserve">In </w:t>
      </w:r>
      <w:r w:rsidR="00B166B6">
        <w:t>9 of these</w:t>
      </w:r>
      <w:r>
        <w:t xml:space="preserve"> </w:t>
      </w:r>
      <w:r w:rsidR="00F002E0">
        <w:t xml:space="preserve">detected </w:t>
      </w:r>
      <w:r>
        <w:t xml:space="preserve">crime reports, the accused was </w:t>
      </w:r>
      <w:r w:rsidR="00B166B6">
        <w:t>under the age of 16</w:t>
      </w:r>
      <w:r w:rsidR="00F002E0">
        <w:t xml:space="preserve"> at the time of the offence</w:t>
      </w:r>
      <w:r w:rsidR="00B166B6">
        <w:t>.</w:t>
      </w:r>
    </w:p>
    <w:p w14:paraId="4B875118" w14:textId="77777777" w:rsidR="00C04F3A" w:rsidRPr="00B11A55" w:rsidRDefault="00C04F3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93E135C" w14:textId="5F21911E" w:rsidR="006B77EB" w:rsidRDefault="007F490F" w:rsidP="002E34B2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8E852F7" w14:textId="77777777" w:rsidR="006B77EB" w:rsidRDefault="006B77EB" w:rsidP="006B77EB">
      <w:pPr>
        <w:tabs>
          <w:tab w:val="left" w:pos="5400"/>
        </w:tabs>
      </w:pPr>
    </w:p>
    <w:p w14:paraId="407F8610" w14:textId="77777777" w:rsidR="006B77EB" w:rsidRDefault="006B77EB" w:rsidP="006B77EB">
      <w:pPr>
        <w:tabs>
          <w:tab w:val="left" w:pos="5400"/>
        </w:tabs>
      </w:pPr>
    </w:p>
    <w:p w14:paraId="5B620CF1" w14:textId="77777777" w:rsidR="00BB714D" w:rsidRDefault="00BB714D" w:rsidP="006B77EB">
      <w:pPr>
        <w:tabs>
          <w:tab w:val="left" w:pos="5400"/>
        </w:tabs>
      </w:pPr>
    </w:p>
    <w:sectPr w:rsidR="00BB714D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550A2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6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880CF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6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4AEDC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6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51797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6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F7ED5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6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FA32F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6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3106"/>
    <w:multiLevelType w:val="hybridMultilevel"/>
    <w:tmpl w:val="B1FA7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C61"/>
    <w:multiLevelType w:val="hybridMultilevel"/>
    <w:tmpl w:val="C49C3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753308925">
    <w:abstractNumId w:val="1"/>
  </w:num>
  <w:num w:numId="3" w16cid:durableId="36270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35D4"/>
    <w:rsid w:val="00090F3B"/>
    <w:rsid w:val="000E2F19"/>
    <w:rsid w:val="000E5EA2"/>
    <w:rsid w:val="000E6526"/>
    <w:rsid w:val="00141533"/>
    <w:rsid w:val="00167528"/>
    <w:rsid w:val="00195CC4"/>
    <w:rsid w:val="00207326"/>
    <w:rsid w:val="00253DF6"/>
    <w:rsid w:val="00255F1E"/>
    <w:rsid w:val="002E34B2"/>
    <w:rsid w:val="0036503B"/>
    <w:rsid w:val="003A4D6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A72BF"/>
    <w:rsid w:val="006B77EB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66B6"/>
    <w:rsid w:val="00B17211"/>
    <w:rsid w:val="00B461B2"/>
    <w:rsid w:val="00B71B3C"/>
    <w:rsid w:val="00BB714D"/>
    <w:rsid w:val="00BC389E"/>
    <w:rsid w:val="00BE1888"/>
    <w:rsid w:val="00BF6B81"/>
    <w:rsid w:val="00C04F3A"/>
    <w:rsid w:val="00C077A8"/>
    <w:rsid w:val="00C14FF4"/>
    <w:rsid w:val="00C606A2"/>
    <w:rsid w:val="00C63872"/>
    <w:rsid w:val="00C84948"/>
    <w:rsid w:val="00CF1111"/>
    <w:rsid w:val="00D05706"/>
    <w:rsid w:val="00D27DC5"/>
    <w:rsid w:val="00D42685"/>
    <w:rsid w:val="00D47E36"/>
    <w:rsid w:val="00E55D79"/>
    <w:rsid w:val="00E80DBB"/>
    <w:rsid w:val="00EE2373"/>
    <w:rsid w:val="00EF4761"/>
    <w:rsid w:val="00F002E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0e32d40b-a8f5-4c24-a46b-b72b5f0b9b52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2024-01-29T15:31:00Z</cp:lastPrinted>
  <dcterms:created xsi:type="dcterms:W3CDTF">2024-01-29T15:14:00Z</dcterms:created>
  <dcterms:modified xsi:type="dcterms:W3CDTF">2024-01-29T15:31:00Z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