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157ED79D" w:rsidR="00B17211" w:rsidRPr="00B17211" w:rsidRDefault="00B17211" w:rsidP="007F490F">
            <w:r w:rsidRPr="007F490F">
              <w:rPr>
                <w:rStyle w:val="Heading2Char"/>
              </w:rPr>
              <w:t>Our reference:</w:t>
            </w:r>
            <w:r>
              <w:t xml:space="preserve">  FOI 2</w:t>
            </w:r>
            <w:r w:rsidR="00AC443C">
              <w:t>3</w:t>
            </w:r>
            <w:r>
              <w:t>-</w:t>
            </w:r>
            <w:r w:rsidR="00C55820">
              <w:t>2624</w:t>
            </w:r>
          </w:p>
          <w:p w14:paraId="7F9C6BF8" w14:textId="2F82D618" w:rsidR="00B17211" w:rsidRDefault="00456324" w:rsidP="00275F28">
            <w:r w:rsidRPr="007F490F">
              <w:rPr>
                <w:rStyle w:val="Heading2Char"/>
              </w:rPr>
              <w:t>Respon</w:t>
            </w:r>
            <w:r w:rsidR="007D55F6">
              <w:rPr>
                <w:rStyle w:val="Heading2Char"/>
              </w:rPr>
              <w:t>ded to:</w:t>
            </w:r>
            <w:r w:rsidR="007F490F">
              <w:t xml:space="preserve">  </w:t>
            </w:r>
            <w:r w:rsidR="00A757D7">
              <w:t>21</w:t>
            </w:r>
            <w:r w:rsidR="00275F28">
              <w:t xml:space="preserve"> December</w:t>
            </w:r>
            <w:r>
              <w:t xml:space="preserve"> 2023</w:t>
            </w:r>
          </w:p>
        </w:tc>
      </w:tr>
    </w:tbl>
    <w:p w14:paraId="71BE2173" w14:textId="23EC21CD" w:rsidR="00793DD5" w:rsidRDefault="00A16785" w:rsidP="0036503B">
      <w:r>
        <w:t xml:space="preserve">Your </w:t>
      </w:r>
      <w:r w:rsidR="00793DD5" w:rsidRPr="00793DD5">
        <w:t xml:space="preserve">request for information is replicated below, together with </w:t>
      </w:r>
      <w:r w:rsidR="004341F0">
        <w:t>our</w:t>
      </w:r>
      <w:r w:rsidR="00793DD5" w:rsidRPr="00793DD5">
        <w:t xml:space="preserve"> response.</w:t>
      </w:r>
    </w:p>
    <w:p w14:paraId="2B3BFBB1" w14:textId="77777777" w:rsidR="00C55820" w:rsidRDefault="00C55820" w:rsidP="004365BB">
      <w:pPr>
        <w:rPr>
          <w:b/>
        </w:rPr>
      </w:pPr>
      <w:r>
        <w:t xml:space="preserve">Please accept our apologies for the delay in responding. </w:t>
      </w:r>
    </w:p>
    <w:p w14:paraId="13C5D9BE" w14:textId="77777777" w:rsidR="00C55820" w:rsidRDefault="00C55820" w:rsidP="00C55820">
      <w:pPr>
        <w:pStyle w:val="ListParagraph"/>
        <w:numPr>
          <w:ilvl w:val="0"/>
          <w:numId w:val="4"/>
        </w:numPr>
        <w:tabs>
          <w:tab w:val="left" w:pos="5400"/>
        </w:tabs>
        <w:rPr>
          <w:rFonts w:eastAsiaTheme="majorEastAsia" w:cstheme="majorBidi"/>
          <w:b/>
          <w:color w:val="000000" w:themeColor="text1"/>
          <w:szCs w:val="26"/>
        </w:rPr>
      </w:pPr>
      <w:r w:rsidRPr="00C55820">
        <w:rPr>
          <w:rFonts w:eastAsiaTheme="majorEastAsia" w:cstheme="majorBidi"/>
          <w:b/>
          <w:color w:val="000000" w:themeColor="text1"/>
          <w:szCs w:val="26"/>
        </w:rPr>
        <w:t xml:space="preserve">The number of serving police officers who were accused of sexual harassment in 2019, 2020 and 2021 </w:t>
      </w:r>
    </w:p>
    <w:p w14:paraId="10C918A7" w14:textId="77777777" w:rsidR="00C55820" w:rsidRDefault="00C55820" w:rsidP="00C55820">
      <w:pPr>
        <w:pStyle w:val="ListParagraph"/>
        <w:numPr>
          <w:ilvl w:val="0"/>
          <w:numId w:val="4"/>
        </w:numPr>
        <w:tabs>
          <w:tab w:val="left" w:pos="5400"/>
        </w:tabs>
        <w:rPr>
          <w:rFonts w:eastAsiaTheme="majorEastAsia" w:cstheme="majorBidi"/>
          <w:b/>
          <w:color w:val="000000" w:themeColor="text1"/>
          <w:szCs w:val="26"/>
        </w:rPr>
      </w:pPr>
      <w:r w:rsidRPr="00C55820">
        <w:rPr>
          <w:rFonts w:eastAsiaTheme="majorEastAsia" w:cstheme="majorBidi"/>
          <w:b/>
          <w:color w:val="000000" w:themeColor="text1"/>
          <w:szCs w:val="26"/>
        </w:rPr>
        <w:t xml:space="preserve">The number of these officers who were suspended or fired each year </w:t>
      </w:r>
    </w:p>
    <w:p w14:paraId="3440A204" w14:textId="2BCBB716" w:rsidR="00C55820" w:rsidRPr="00C55820" w:rsidRDefault="00C55820" w:rsidP="00C55820">
      <w:pPr>
        <w:pStyle w:val="ListParagraph"/>
        <w:numPr>
          <w:ilvl w:val="0"/>
          <w:numId w:val="4"/>
        </w:numPr>
        <w:tabs>
          <w:tab w:val="left" w:pos="5400"/>
        </w:tabs>
        <w:rPr>
          <w:rFonts w:eastAsiaTheme="majorEastAsia" w:cstheme="majorBidi"/>
          <w:b/>
          <w:color w:val="000000" w:themeColor="text1"/>
          <w:szCs w:val="26"/>
        </w:rPr>
      </w:pPr>
      <w:r w:rsidRPr="00C55820">
        <w:rPr>
          <w:rFonts w:eastAsiaTheme="majorEastAsia" w:cstheme="majorBidi"/>
          <w:b/>
          <w:color w:val="000000" w:themeColor="text1"/>
          <w:szCs w:val="26"/>
        </w:rPr>
        <w:t>The number of these officers who still serve in Police Scotland</w:t>
      </w:r>
    </w:p>
    <w:p w14:paraId="4CD5A0F1" w14:textId="2A1C5E63" w:rsidR="00C55820" w:rsidRDefault="00BF3637" w:rsidP="004365BB">
      <w:r>
        <w:t>To provide some context to this response, you may find it useful to know that t</w:t>
      </w:r>
      <w:r w:rsidR="00C55820" w:rsidRPr="004365BB">
        <w:t xml:space="preserve">he formal disciplinary process for Police Officers is governed by </w:t>
      </w:r>
      <w:hyperlink r:id="rId8" w:history="1">
        <w:r w:rsidR="00C55820">
          <w:rPr>
            <w:rStyle w:val="Hyperlink"/>
          </w:rPr>
          <w:t>the Police Service of Scotland (Conduct) Regulations 2014</w:t>
        </w:r>
      </w:hyperlink>
      <w:r w:rsidR="00C55820" w:rsidRPr="004365BB">
        <w:t>.</w:t>
      </w:r>
      <w:r w:rsidR="00C55820">
        <w:t xml:space="preserve">  </w:t>
      </w:r>
      <w:r w:rsidR="00C55820" w:rsidRPr="004365BB">
        <w:t xml:space="preserve">The </w:t>
      </w:r>
      <w:r w:rsidR="00C55820">
        <w:t>associated</w:t>
      </w:r>
      <w:r w:rsidR="00C55820" w:rsidRPr="004365BB">
        <w:t xml:space="preserve"> </w:t>
      </w:r>
      <w:hyperlink r:id="rId9" w:history="1">
        <w:r w:rsidR="00C55820" w:rsidRPr="004365BB">
          <w:rPr>
            <w:rStyle w:val="Hyperlink"/>
          </w:rPr>
          <w:t>Scottish Government Guidance Document</w:t>
        </w:r>
      </w:hyperlink>
      <w:r w:rsidR="00C55820" w:rsidRPr="004365BB">
        <w:t xml:space="preserve"> provides further information on the process and </w:t>
      </w:r>
      <w:r w:rsidR="00C55820">
        <w:t>allegations</w:t>
      </w:r>
      <w:r w:rsidR="00C55820" w:rsidRPr="004365BB">
        <w:t xml:space="preserve"> are categorised in line with </w:t>
      </w:r>
      <w:r>
        <w:t>the regulated</w:t>
      </w:r>
      <w:r w:rsidR="00C55820" w:rsidRPr="004365BB">
        <w:t xml:space="preserve"> </w:t>
      </w:r>
      <w:hyperlink r:id="rId10" w:history="1">
        <w:r w:rsidR="00C55820" w:rsidRPr="004365BB">
          <w:rPr>
            <w:rStyle w:val="Hyperlink"/>
          </w:rPr>
          <w:t>Standards of Professional Behaviour</w:t>
        </w:r>
      </w:hyperlink>
      <w:r w:rsidR="00C55820">
        <w:t>.</w:t>
      </w:r>
    </w:p>
    <w:p w14:paraId="74F25534" w14:textId="18F28853" w:rsidR="00C55820" w:rsidRDefault="00C55820" w:rsidP="00C55820">
      <w:r w:rsidRPr="007943B4">
        <w:t xml:space="preserve">The Police Scotland </w:t>
      </w:r>
      <w:hyperlink r:id="rId11" w:tooltip="Complaints About The Police SOP" w:history="1">
        <w:r>
          <w:rPr>
            <w:rStyle w:val="Hyperlink"/>
          </w:rPr>
          <w:t xml:space="preserve">Complaints About the Police </w:t>
        </w:r>
        <w:r w:rsidR="00275F28">
          <w:rPr>
            <w:rStyle w:val="Hyperlink"/>
          </w:rPr>
          <w:t xml:space="preserve">(CAP) </w:t>
        </w:r>
        <w:r>
          <w:rPr>
            <w:rStyle w:val="Hyperlink"/>
          </w:rPr>
          <w:t>Standard Operating Procedure (SOP)</w:t>
        </w:r>
      </w:hyperlink>
      <w:r>
        <w:t xml:space="preserve"> outlines </w:t>
      </w:r>
      <w:r w:rsidRPr="007943B4">
        <w:t xml:space="preserve">how we deal with complaints. </w:t>
      </w:r>
      <w:r>
        <w:t xml:space="preserve"> Allegations are recorded in accordance with the</w:t>
      </w:r>
      <w:r w:rsidRPr="007943B4">
        <w:t xml:space="preserve"> categories listed at appendices </w:t>
      </w:r>
      <w:r>
        <w:t>C</w:t>
      </w:r>
      <w:r w:rsidRPr="007943B4">
        <w:t xml:space="preserve"> and </w:t>
      </w:r>
      <w:r>
        <w:t>D.</w:t>
      </w:r>
    </w:p>
    <w:p w14:paraId="2F10F027" w14:textId="4143BC0E" w:rsidR="005C5A90" w:rsidRPr="00275F28" w:rsidRDefault="005C5A90" w:rsidP="005C5A90">
      <w:pPr>
        <w:rPr>
          <w:lang w:val="en-US"/>
        </w:rPr>
      </w:pPr>
      <w:r w:rsidRPr="00275F28">
        <w:rPr>
          <w:lang w:val="en-US"/>
        </w:rPr>
        <w:t>In accordance with the Police Scotland</w:t>
      </w:r>
      <w:r w:rsidR="00275F28">
        <w:rPr>
          <w:lang w:val="en-US"/>
        </w:rPr>
        <w:t xml:space="preserve"> </w:t>
      </w:r>
      <w:hyperlink r:id="rId12" w:tooltip="Complaints About The Police SOP" w:history="1">
        <w:r w:rsidR="00275F28">
          <w:rPr>
            <w:rStyle w:val="Hyperlink"/>
          </w:rPr>
          <w:t>CAP SOP</w:t>
        </w:r>
      </w:hyperlink>
      <w:r w:rsidR="00275F28">
        <w:rPr>
          <w:lang w:val="en-US"/>
        </w:rPr>
        <w:t xml:space="preserve">  </w:t>
      </w:r>
      <w:r w:rsidRPr="00275F28">
        <w:rPr>
          <w:i/>
          <w:lang w:val="en-US"/>
        </w:rPr>
        <w:t>all</w:t>
      </w:r>
      <w:r w:rsidRPr="00275F28">
        <w:rPr>
          <w:lang w:val="en-US"/>
        </w:rPr>
        <w:t xml:space="preserve"> allegations of on duty criminality</w:t>
      </w:r>
      <w:r w:rsidR="00A314E5" w:rsidRPr="00275F28">
        <w:rPr>
          <w:lang w:val="en-US"/>
        </w:rPr>
        <w:t xml:space="preserve"> by police officers</w:t>
      </w:r>
      <w:r w:rsidRPr="00275F28">
        <w:rPr>
          <w:lang w:val="en-US"/>
        </w:rPr>
        <w:t xml:space="preserve"> are reported to the </w:t>
      </w:r>
      <w:r w:rsidR="00275F28">
        <w:rPr>
          <w:lang w:val="en-US"/>
        </w:rPr>
        <w:t xml:space="preserve">Criminal Allegations Against the Police Division (CAAPD) of the </w:t>
      </w:r>
      <w:r w:rsidRPr="00275F28">
        <w:rPr>
          <w:lang w:val="en-US"/>
        </w:rPr>
        <w:t xml:space="preserve">Crown Office and Procurator Fiscal Service (COPFS) for independent assessment and to enable consideration of criminal proceedings to take place.  </w:t>
      </w:r>
    </w:p>
    <w:p w14:paraId="33145BC2" w14:textId="1122AAD6" w:rsidR="005C5A90" w:rsidRPr="00275F28" w:rsidRDefault="005C5A90" w:rsidP="00C55820">
      <w:pPr>
        <w:rPr>
          <w:lang w:val="en-US"/>
        </w:rPr>
      </w:pPr>
      <w:r w:rsidRPr="00275F28">
        <w:rPr>
          <w:lang w:val="en-US"/>
        </w:rPr>
        <w:t>In instances of off duty criminality, police officers are treated no differently to any other member of the public in respect of criminal proceedings</w:t>
      </w:r>
      <w:r w:rsidR="00A314E5" w:rsidRPr="00275F28">
        <w:rPr>
          <w:lang w:val="en-US"/>
        </w:rPr>
        <w:t>.</w:t>
      </w:r>
    </w:p>
    <w:p w14:paraId="3C805815" w14:textId="47FE11B9" w:rsidR="00C55820" w:rsidRPr="00C55820" w:rsidRDefault="00C55820" w:rsidP="00C55820">
      <w:r w:rsidRPr="00C55820">
        <w:t xml:space="preserve">The complaint process and the conduct process are distinct from each other and both have separate assessment and recording processes within the Professional Standards Department (PSD) database. </w:t>
      </w:r>
    </w:p>
    <w:p w14:paraId="35EDB1A7" w14:textId="445BF86A" w:rsidR="00C55820" w:rsidRPr="00C55820" w:rsidRDefault="00C55820" w:rsidP="00C55820">
      <w:r w:rsidRPr="00C55820">
        <w:t xml:space="preserve">Once complaint matters are concluded, the circumstances may be referred for a Conduct Assessment (not necessarily every aspect of the complaint, or every officer involved). </w:t>
      </w:r>
      <w:r w:rsidRPr="00C55820">
        <w:lastRenderedPageBreak/>
        <w:t xml:space="preserve">There is therefore potential for the same individual/circumstances to appear on a complaint case and a conduct case. Due to these processes, complaints and conduct matters cannot simply be added together. </w:t>
      </w:r>
    </w:p>
    <w:p w14:paraId="04312101" w14:textId="44FA0F8F" w:rsidR="00C55820" w:rsidRDefault="00C55820" w:rsidP="00C55820">
      <w:r w:rsidRPr="00C55820">
        <w:t>There can be one or more allegations contained within one complaint case and equally, there can be one or more subject officer</w:t>
      </w:r>
      <w:r w:rsidR="00A35B14">
        <w:t>s</w:t>
      </w:r>
      <w:r w:rsidRPr="00C55820">
        <w:t xml:space="preserve"> relative to each allegation. </w:t>
      </w:r>
    </w:p>
    <w:p w14:paraId="5A145BF7" w14:textId="77777777" w:rsidR="00C55820" w:rsidRDefault="00C55820" w:rsidP="00C55820">
      <w:r w:rsidRPr="00C55820">
        <w:t xml:space="preserve">Conduct cases may contain multiple allegations but are limited to one subject officer per case. </w:t>
      </w:r>
    </w:p>
    <w:p w14:paraId="1202A24F" w14:textId="77777777" w:rsidR="00C55820" w:rsidRDefault="00C55820" w:rsidP="00C55820">
      <w:r w:rsidRPr="00C55820">
        <w:t xml:space="preserve">Subject officers are counted once per conduct case however the same officer may be subject to multiple cases and therefore may appear more than once. </w:t>
      </w:r>
    </w:p>
    <w:p w14:paraId="75C6900E" w14:textId="0A0570F5" w:rsidR="00C55820" w:rsidRDefault="00C55820" w:rsidP="00C55820">
      <w:r w:rsidRPr="00C55820">
        <w:t xml:space="preserve">Each case may involve multiple allegations and (for complaints only) each allegation may be linked to multiple subject officers. </w:t>
      </w:r>
    </w:p>
    <w:p w14:paraId="42370434" w14:textId="77777777" w:rsidR="00C55820" w:rsidRDefault="00C55820" w:rsidP="00C55820">
      <w:r w:rsidRPr="00C55820">
        <w:t xml:space="preserve">As referred to above, the PSD database records complaint categories and the Standards of Professional Behaviour.  </w:t>
      </w:r>
    </w:p>
    <w:p w14:paraId="0ABDC06E" w14:textId="55DAD03C" w:rsidR="00C55820" w:rsidRDefault="00C55820" w:rsidP="00C55820">
      <w:r w:rsidRPr="00C55820">
        <w:t>The term ‘</w:t>
      </w:r>
      <w:r w:rsidR="00A16785">
        <w:t xml:space="preserve">sexual </w:t>
      </w:r>
      <w:r w:rsidRPr="00C55820">
        <w:t xml:space="preserve">harassment’ is not a recognised recording category </w:t>
      </w:r>
      <w:r>
        <w:t>and</w:t>
      </w:r>
      <w:r w:rsidRPr="00C55820">
        <w:t xml:space="preserve"> no </w:t>
      </w:r>
      <w:r>
        <w:t>associated data is therefore available.</w:t>
      </w:r>
    </w:p>
    <w:p w14:paraId="08D57194" w14:textId="77777777" w:rsidR="00C55820" w:rsidRDefault="00C55820" w:rsidP="00C55820">
      <w:r>
        <w:t>S</w:t>
      </w:r>
      <w:r w:rsidRPr="00C55820">
        <w:t xml:space="preserve">ection 17 of the Act therefore applies as the information sought is </w:t>
      </w:r>
      <w:r w:rsidRPr="00C55820">
        <w:rPr>
          <w:i/>
          <w:iCs/>
        </w:rPr>
        <w:t xml:space="preserve">not held </w:t>
      </w:r>
      <w:r w:rsidRPr="00C55820">
        <w:t>by Police Scotland in those terms.</w:t>
      </w:r>
    </w:p>
    <w:p w14:paraId="2AACEA97" w14:textId="77777777" w:rsidR="00BE2768" w:rsidRDefault="00BE2768" w:rsidP="00C55820"/>
    <w:p w14:paraId="399F4C57" w14:textId="03C8469A" w:rsidR="00C55820" w:rsidRPr="00A35B14" w:rsidRDefault="00C55820" w:rsidP="00A35B14">
      <w:pPr>
        <w:pStyle w:val="ListParagraph"/>
        <w:numPr>
          <w:ilvl w:val="0"/>
          <w:numId w:val="4"/>
        </w:numPr>
        <w:rPr>
          <w:rFonts w:eastAsiaTheme="majorEastAsia" w:cstheme="majorBidi"/>
          <w:b/>
          <w:color w:val="000000" w:themeColor="text1"/>
          <w:szCs w:val="26"/>
        </w:rPr>
      </w:pPr>
      <w:r w:rsidRPr="00A35B14">
        <w:rPr>
          <w:rFonts w:eastAsiaTheme="majorEastAsia" w:cstheme="majorBidi"/>
          <w:b/>
          <w:color w:val="000000" w:themeColor="text1"/>
          <w:szCs w:val="26"/>
        </w:rPr>
        <w:t xml:space="preserve">The number of serving police officers who were accused of sexual assault in 2019, 2020 and 2021 </w:t>
      </w:r>
    </w:p>
    <w:p w14:paraId="1051F363" w14:textId="314CBBA0" w:rsidR="00BF3637" w:rsidRPr="00A35B14" w:rsidRDefault="00BF3637" w:rsidP="00A35B14">
      <w:pPr>
        <w:pStyle w:val="ListParagraph"/>
        <w:numPr>
          <w:ilvl w:val="0"/>
          <w:numId w:val="4"/>
        </w:numPr>
        <w:tabs>
          <w:tab w:val="left" w:pos="5400"/>
        </w:tabs>
        <w:rPr>
          <w:rFonts w:eastAsiaTheme="majorEastAsia" w:cstheme="majorBidi"/>
          <w:b/>
          <w:color w:val="000000" w:themeColor="text1"/>
          <w:szCs w:val="26"/>
        </w:rPr>
      </w:pPr>
      <w:r w:rsidRPr="00A35B14">
        <w:rPr>
          <w:rFonts w:eastAsiaTheme="majorEastAsia" w:cstheme="majorBidi"/>
          <w:b/>
          <w:color w:val="000000" w:themeColor="text1"/>
          <w:szCs w:val="26"/>
        </w:rPr>
        <w:t xml:space="preserve">The number of these officers who were suspended or fired each year </w:t>
      </w:r>
    </w:p>
    <w:p w14:paraId="2A6F56FD" w14:textId="4203E74F" w:rsidR="00BF3637" w:rsidRPr="00A35B14" w:rsidRDefault="00BF3637" w:rsidP="00A35B14">
      <w:pPr>
        <w:pStyle w:val="ListParagraph"/>
        <w:numPr>
          <w:ilvl w:val="0"/>
          <w:numId w:val="4"/>
        </w:numPr>
        <w:tabs>
          <w:tab w:val="left" w:pos="5400"/>
        </w:tabs>
        <w:rPr>
          <w:rFonts w:eastAsiaTheme="majorEastAsia" w:cstheme="majorBidi"/>
          <w:b/>
          <w:color w:val="000000" w:themeColor="text1"/>
          <w:szCs w:val="26"/>
        </w:rPr>
      </w:pPr>
      <w:r w:rsidRPr="00A35B14">
        <w:rPr>
          <w:rFonts w:eastAsiaTheme="majorEastAsia" w:cstheme="majorBidi"/>
          <w:b/>
          <w:color w:val="000000" w:themeColor="text1"/>
          <w:szCs w:val="26"/>
        </w:rPr>
        <w:t>The number of these officers who still serve in Police Scotland</w:t>
      </w:r>
    </w:p>
    <w:p w14:paraId="0062DD7F" w14:textId="77777777" w:rsidR="00BF3637" w:rsidRDefault="00BF3637" w:rsidP="00BF3637">
      <w:r>
        <w:t>The tables below detail p</w:t>
      </w:r>
      <w:r w:rsidRPr="00C55820">
        <w:t>olice officers subject to allegations categorised as indecent assault, attached to complaint and conduct cases</w:t>
      </w:r>
      <w:r>
        <w:t>,</w:t>
      </w:r>
      <w:r w:rsidRPr="00C55820">
        <w:t xml:space="preserve"> received between 01/01/2019</w:t>
      </w:r>
      <w:r>
        <w:t xml:space="preserve"> and</w:t>
      </w:r>
      <w:r w:rsidRPr="00C55820">
        <w:t xml:space="preserve"> 31/12/2021 inclusive. </w:t>
      </w:r>
    </w:p>
    <w:p w14:paraId="601398A5" w14:textId="77777777" w:rsidR="009A4DA6" w:rsidRDefault="009A4DA6" w:rsidP="009A4DA6">
      <w:r>
        <w:t>A</w:t>
      </w:r>
      <w:r w:rsidRPr="00CF54D3">
        <w:t>s</w:t>
      </w:r>
      <w:r>
        <w:t xml:space="preserve"> detailed</w:t>
      </w:r>
      <w:r w:rsidRPr="00CF54D3">
        <w:t xml:space="preserve"> within the </w:t>
      </w:r>
      <w:hyperlink r:id="rId13" w:history="1">
        <w:r w:rsidRPr="00CF54D3">
          <w:rPr>
            <w:rStyle w:val="Hyperlink"/>
          </w:rPr>
          <w:t>Suspension from Duty SOP</w:t>
        </w:r>
      </w:hyperlink>
      <w:r w:rsidRPr="00CF54D3">
        <w:t xml:space="preserve">, only in cases where an effective criminal or misconduct investigation may be prejudiced if the officer is not suspended and/or having regard to the nature of the allegation and any other relevant considerations will suspension be imposed.  The decision to suspend an officer, made by the Deputy Chief Constable (DCC) Designate, will normally only be taken after each set of individual circumstances have been rigorously and objectively examined.  </w:t>
      </w:r>
    </w:p>
    <w:p w14:paraId="6AD3D30C" w14:textId="77777777" w:rsidR="009A4DA6" w:rsidRDefault="009A4DA6" w:rsidP="009A4DA6">
      <w:r w:rsidRPr="00CF54D3">
        <w:lastRenderedPageBreak/>
        <w:t>The DCC Designate can also impose other conditions or restrictions as are reasonable in the circumstances.</w:t>
      </w:r>
    </w:p>
    <w:p w14:paraId="0912275E" w14:textId="77777777" w:rsidR="009A4DA6" w:rsidRPr="00C55820" w:rsidRDefault="009A4DA6" w:rsidP="009A4DA6">
      <w:r w:rsidRPr="00C55820">
        <w:t>As dismissal from service is a disposal designated to the conduct process only, dismissals data in relation to the allegations attached to conduct cases received within the specified period has been provided</w:t>
      </w:r>
      <w:r>
        <w:t>.</w:t>
      </w:r>
      <w:r w:rsidRPr="00C55820">
        <w:t xml:space="preserve">  </w:t>
      </w:r>
    </w:p>
    <w:p w14:paraId="187CF500" w14:textId="1B6F3BAA" w:rsidR="009A4DA6" w:rsidRDefault="009A4DA6" w:rsidP="009A4DA6">
      <w:r>
        <w:t>It should be noted that a</w:t>
      </w:r>
      <w:r w:rsidRPr="00C55820">
        <w:t>llegations received may remain subject to live enquiry, in terms of criminal investigation or the misconduct process, and/or legal proceedings</w:t>
      </w:r>
      <w:r>
        <w:t xml:space="preserve"> t</w:t>
      </w:r>
      <w:r w:rsidRPr="00C55820">
        <w:t xml:space="preserve">herefore, these matters may not yet be concluded. </w:t>
      </w:r>
    </w:p>
    <w:p w14:paraId="0CCFCF27" w14:textId="77777777" w:rsidR="009A4DA6" w:rsidRDefault="009A4DA6" w:rsidP="009A4DA6">
      <w:r w:rsidRPr="00C55820">
        <w:t>Furthermore, conduct proceedings immediately cease should an of</w:t>
      </w:r>
      <w:r>
        <w:t>ficer retire or resign, as the Police Service of Scotland (Conduct) Re</w:t>
      </w:r>
      <w:r w:rsidRPr="00C55820">
        <w:t xml:space="preserve">gulations </w:t>
      </w:r>
      <w:r>
        <w:t xml:space="preserve">2014 </w:t>
      </w:r>
      <w:r w:rsidRPr="00C55820">
        <w:t xml:space="preserve">apply only to serving Police officers. </w:t>
      </w:r>
    </w:p>
    <w:p w14:paraId="64D63906" w14:textId="171BACE6" w:rsidR="00C55820" w:rsidRPr="00C55820" w:rsidRDefault="00C55820" w:rsidP="00C55820">
      <w:r>
        <w:t>Data is presented by calendar year and is based on the case received date.</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508"/>
        <w:gridCol w:w="759"/>
        <w:gridCol w:w="688"/>
        <w:gridCol w:w="688"/>
      </w:tblGrid>
      <w:tr w:rsidR="00C55820" w:rsidRPr="00BE2768" w14:paraId="570C2736" w14:textId="77777777" w:rsidTr="00BE2768">
        <w:trPr>
          <w:trHeight w:val="315"/>
        </w:trPr>
        <w:tc>
          <w:tcPr>
            <w:tcW w:w="7508" w:type="dxa"/>
            <w:shd w:val="clear" w:color="auto" w:fill="D9D9D9" w:themeFill="background1" w:themeFillShade="D9"/>
          </w:tcPr>
          <w:p w14:paraId="2E4D4367" w14:textId="46FD2811" w:rsidR="00C55820" w:rsidRPr="00BE2768" w:rsidRDefault="00C55820" w:rsidP="00C55820">
            <w:pPr>
              <w:spacing w:line="276" w:lineRule="auto"/>
              <w:rPr>
                <w:b/>
                <w:bCs/>
              </w:rPr>
            </w:pPr>
            <w:r w:rsidRPr="00BE2768">
              <w:rPr>
                <w:b/>
                <w:bCs/>
              </w:rPr>
              <w:t>Subject officers linked to allegations categorised as indecent assault (complaints)</w:t>
            </w:r>
          </w:p>
        </w:tc>
        <w:tc>
          <w:tcPr>
            <w:tcW w:w="759" w:type="dxa"/>
            <w:shd w:val="clear" w:color="auto" w:fill="D9D9D9" w:themeFill="background1" w:themeFillShade="D9"/>
          </w:tcPr>
          <w:p w14:paraId="651F9E28" w14:textId="77777777" w:rsidR="00C55820" w:rsidRPr="00BE2768" w:rsidRDefault="00C55820" w:rsidP="00C55820">
            <w:pPr>
              <w:spacing w:line="276" w:lineRule="auto"/>
              <w:jc w:val="center"/>
              <w:rPr>
                <w:b/>
                <w:bCs/>
              </w:rPr>
            </w:pPr>
            <w:r w:rsidRPr="00BE2768">
              <w:rPr>
                <w:b/>
                <w:bCs/>
              </w:rPr>
              <w:t>2019</w:t>
            </w:r>
          </w:p>
        </w:tc>
        <w:tc>
          <w:tcPr>
            <w:tcW w:w="688" w:type="dxa"/>
            <w:shd w:val="clear" w:color="auto" w:fill="D9D9D9" w:themeFill="background1" w:themeFillShade="D9"/>
          </w:tcPr>
          <w:p w14:paraId="09035946" w14:textId="77777777" w:rsidR="00C55820" w:rsidRPr="00BE2768" w:rsidRDefault="00C55820" w:rsidP="00C55820">
            <w:pPr>
              <w:spacing w:line="276" w:lineRule="auto"/>
              <w:jc w:val="center"/>
              <w:rPr>
                <w:b/>
                <w:bCs/>
              </w:rPr>
            </w:pPr>
            <w:r w:rsidRPr="00BE2768">
              <w:rPr>
                <w:b/>
                <w:bCs/>
              </w:rPr>
              <w:t>2020</w:t>
            </w:r>
          </w:p>
        </w:tc>
        <w:tc>
          <w:tcPr>
            <w:tcW w:w="688" w:type="dxa"/>
            <w:shd w:val="clear" w:color="auto" w:fill="D9D9D9" w:themeFill="background1" w:themeFillShade="D9"/>
          </w:tcPr>
          <w:p w14:paraId="608485C1" w14:textId="77777777" w:rsidR="00C55820" w:rsidRPr="00BE2768" w:rsidRDefault="00C55820" w:rsidP="00C55820">
            <w:pPr>
              <w:spacing w:line="276" w:lineRule="auto"/>
              <w:jc w:val="center"/>
              <w:rPr>
                <w:b/>
                <w:bCs/>
              </w:rPr>
            </w:pPr>
            <w:r w:rsidRPr="00BE2768">
              <w:rPr>
                <w:b/>
                <w:bCs/>
              </w:rPr>
              <w:t>2021</w:t>
            </w:r>
          </w:p>
        </w:tc>
      </w:tr>
      <w:tr w:rsidR="00C55820" w:rsidRPr="00BE2768" w14:paraId="40F1FB77" w14:textId="77777777" w:rsidTr="00BE2768">
        <w:trPr>
          <w:trHeight w:val="315"/>
        </w:trPr>
        <w:tc>
          <w:tcPr>
            <w:tcW w:w="7508" w:type="dxa"/>
          </w:tcPr>
          <w:p w14:paraId="08492441" w14:textId="77777777" w:rsidR="00C55820" w:rsidRPr="00BE2768" w:rsidRDefault="00C55820" w:rsidP="00C55820">
            <w:pPr>
              <w:spacing w:line="276" w:lineRule="auto"/>
            </w:pPr>
            <w:r w:rsidRPr="00BE2768">
              <w:t>Number of subject officers</w:t>
            </w:r>
          </w:p>
        </w:tc>
        <w:tc>
          <w:tcPr>
            <w:tcW w:w="759" w:type="dxa"/>
          </w:tcPr>
          <w:p w14:paraId="790078B9" w14:textId="77777777" w:rsidR="00C55820" w:rsidRPr="00BE2768" w:rsidRDefault="00C55820" w:rsidP="00C55820">
            <w:pPr>
              <w:spacing w:line="276" w:lineRule="auto"/>
              <w:jc w:val="center"/>
            </w:pPr>
            <w:r w:rsidRPr="00BE2768">
              <w:t>15</w:t>
            </w:r>
          </w:p>
        </w:tc>
        <w:tc>
          <w:tcPr>
            <w:tcW w:w="688" w:type="dxa"/>
          </w:tcPr>
          <w:p w14:paraId="22244A5E" w14:textId="77777777" w:rsidR="00C55820" w:rsidRPr="00BE2768" w:rsidRDefault="00C55820" w:rsidP="00C55820">
            <w:pPr>
              <w:spacing w:line="276" w:lineRule="auto"/>
              <w:jc w:val="center"/>
            </w:pPr>
            <w:r w:rsidRPr="00BE2768">
              <w:t>10</w:t>
            </w:r>
          </w:p>
        </w:tc>
        <w:tc>
          <w:tcPr>
            <w:tcW w:w="688" w:type="dxa"/>
          </w:tcPr>
          <w:p w14:paraId="6545C70C" w14:textId="77777777" w:rsidR="00C55820" w:rsidRPr="00BE2768" w:rsidRDefault="00C55820" w:rsidP="00C55820">
            <w:pPr>
              <w:spacing w:line="276" w:lineRule="auto"/>
              <w:jc w:val="center"/>
            </w:pPr>
            <w:r w:rsidRPr="00BE2768">
              <w:t>14</w:t>
            </w:r>
          </w:p>
        </w:tc>
      </w:tr>
      <w:tr w:rsidR="00CF54D3" w:rsidRPr="00BE2768" w14:paraId="7D606BDA" w14:textId="77777777" w:rsidTr="00BE2768">
        <w:trPr>
          <w:trHeight w:val="315"/>
        </w:trPr>
        <w:tc>
          <w:tcPr>
            <w:tcW w:w="7508" w:type="dxa"/>
          </w:tcPr>
          <w:p w14:paraId="45D50140" w14:textId="128B4594" w:rsidR="00CF54D3" w:rsidRPr="00BE2768" w:rsidRDefault="00CF54D3" w:rsidP="00A35B14">
            <w:pPr>
              <w:spacing w:line="276" w:lineRule="auto"/>
            </w:pPr>
            <w:r w:rsidRPr="00BE2768">
              <w:t>Number suspended</w:t>
            </w:r>
            <w:r w:rsidR="00BE2768">
              <w:t xml:space="preserve"> </w:t>
            </w:r>
            <w:r w:rsidR="00A35B14" w:rsidRPr="00BE2768">
              <w:rPr>
                <w:vertAlign w:val="superscript"/>
              </w:rPr>
              <w:t>1</w:t>
            </w:r>
          </w:p>
        </w:tc>
        <w:tc>
          <w:tcPr>
            <w:tcW w:w="759" w:type="dxa"/>
          </w:tcPr>
          <w:p w14:paraId="179DD729" w14:textId="099187D1" w:rsidR="00CF54D3" w:rsidRPr="00BE2768" w:rsidRDefault="00CF54D3" w:rsidP="00C55820">
            <w:pPr>
              <w:spacing w:line="276" w:lineRule="auto"/>
              <w:jc w:val="center"/>
            </w:pPr>
            <w:r w:rsidRPr="00BE2768">
              <w:t>0</w:t>
            </w:r>
          </w:p>
        </w:tc>
        <w:tc>
          <w:tcPr>
            <w:tcW w:w="688" w:type="dxa"/>
          </w:tcPr>
          <w:p w14:paraId="1D53F5D8" w14:textId="2F140B62" w:rsidR="00CF54D3" w:rsidRPr="00BE2768" w:rsidRDefault="00CF54D3" w:rsidP="00C55820">
            <w:pPr>
              <w:spacing w:line="276" w:lineRule="auto"/>
              <w:jc w:val="center"/>
            </w:pPr>
            <w:r w:rsidRPr="00BE2768">
              <w:t>0</w:t>
            </w:r>
          </w:p>
        </w:tc>
        <w:tc>
          <w:tcPr>
            <w:tcW w:w="688" w:type="dxa"/>
          </w:tcPr>
          <w:p w14:paraId="390B30EB" w14:textId="2F0579C2" w:rsidR="00CF54D3" w:rsidRPr="00BE2768" w:rsidRDefault="00CF54D3" w:rsidP="00C55820">
            <w:pPr>
              <w:spacing w:line="276" w:lineRule="auto"/>
              <w:jc w:val="center"/>
            </w:pPr>
            <w:r w:rsidRPr="00BE2768">
              <w:t>0</w:t>
            </w:r>
          </w:p>
        </w:tc>
      </w:tr>
      <w:tr w:rsidR="00CF54D3" w:rsidRPr="00BE2768" w14:paraId="0E20169A" w14:textId="77777777" w:rsidTr="00BE2768">
        <w:trPr>
          <w:trHeight w:val="315"/>
        </w:trPr>
        <w:tc>
          <w:tcPr>
            <w:tcW w:w="7508" w:type="dxa"/>
          </w:tcPr>
          <w:p w14:paraId="7758EF1F" w14:textId="03F8F3E5" w:rsidR="00CF54D3" w:rsidRPr="00BE2768" w:rsidRDefault="00CF54D3" w:rsidP="00C55820">
            <w:pPr>
              <w:spacing w:line="276" w:lineRule="auto"/>
            </w:pPr>
            <w:r w:rsidRPr="00BE2768">
              <w:t>Number dismissed</w:t>
            </w:r>
            <w:r w:rsidR="00BE2768">
              <w:t xml:space="preserve"> </w:t>
            </w:r>
            <w:r w:rsidR="00A35B14" w:rsidRPr="00BE2768">
              <w:rPr>
                <w:sz w:val="20"/>
                <w:szCs w:val="20"/>
                <w:vertAlign w:val="superscript"/>
              </w:rPr>
              <w:t>2</w:t>
            </w:r>
          </w:p>
        </w:tc>
        <w:tc>
          <w:tcPr>
            <w:tcW w:w="759" w:type="dxa"/>
          </w:tcPr>
          <w:p w14:paraId="29DA7804" w14:textId="171FD3A4" w:rsidR="00CF54D3" w:rsidRPr="00BE2768" w:rsidRDefault="00A35B14" w:rsidP="00C55820">
            <w:pPr>
              <w:spacing w:line="276" w:lineRule="auto"/>
              <w:jc w:val="center"/>
            </w:pPr>
            <w:r w:rsidRPr="00BE2768">
              <w:t>n/a</w:t>
            </w:r>
          </w:p>
        </w:tc>
        <w:tc>
          <w:tcPr>
            <w:tcW w:w="688" w:type="dxa"/>
          </w:tcPr>
          <w:p w14:paraId="3D3AFFC1" w14:textId="13E760C3" w:rsidR="00CF54D3" w:rsidRPr="00BE2768" w:rsidRDefault="00A35B14" w:rsidP="00C55820">
            <w:pPr>
              <w:spacing w:line="276" w:lineRule="auto"/>
              <w:jc w:val="center"/>
            </w:pPr>
            <w:r w:rsidRPr="00BE2768">
              <w:t>n/a</w:t>
            </w:r>
          </w:p>
        </w:tc>
        <w:tc>
          <w:tcPr>
            <w:tcW w:w="688" w:type="dxa"/>
          </w:tcPr>
          <w:p w14:paraId="1B7261D6" w14:textId="44D4D1E0" w:rsidR="00CF54D3" w:rsidRPr="00BE2768" w:rsidRDefault="00A35B14" w:rsidP="00C55820">
            <w:pPr>
              <w:spacing w:line="276" w:lineRule="auto"/>
              <w:jc w:val="center"/>
            </w:pPr>
            <w:r w:rsidRPr="00BE2768">
              <w:t>n/a</w:t>
            </w:r>
          </w:p>
        </w:tc>
      </w:tr>
      <w:tr w:rsidR="00BF3637" w:rsidRPr="00BE2768" w14:paraId="24FA74DE" w14:textId="77777777" w:rsidTr="00BE2768">
        <w:trPr>
          <w:trHeight w:val="315"/>
        </w:trPr>
        <w:tc>
          <w:tcPr>
            <w:tcW w:w="7508" w:type="dxa"/>
          </w:tcPr>
          <w:p w14:paraId="67149088" w14:textId="3CBBC0CD" w:rsidR="00BF3637" w:rsidRPr="00BE2768" w:rsidRDefault="00BF3637" w:rsidP="00C55820">
            <w:pPr>
              <w:spacing w:line="276" w:lineRule="auto"/>
            </w:pPr>
            <w:r w:rsidRPr="00BE2768">
              <w:t>Number of subject officers in service as at 11/10/2023</w:t>
            </w:r>
          </w:p>
        </w:tc>
        <w:tc>
          <w:tcPr>
            <w:tcW w:w="759" w:type="dxa"/>
          </w:tcPr>
          <w:p w14:paraId="1AF99A62" w14:textId="09E0546A" w:rsidR="00BF3637" w:rsidRPr="00BE2768" w:rsidRDefault="00BF3637" w:rsidP="00C55820">
            <w:pPr>
              <w:spacing w:line="276" w:lineRule="auto"/>
              <w:jc w:val="center"/>
            </w:pPr>
            <w:r w:rsidRPr="00BE2768">
              <w:t>14</w:t>
            </w:r>
          </w:p>
        </w:tc>
        <w:tc>
          <w:tcPr>
            <w:tcW w:w="688" w:type="dxa"/>
          </w:tcPr>
          <w:p w14:paraId="74A4676F" w14:textId="7E13151C" w:rsidR="00BF3637" w:rsidRPr="00BE2768" w:rsidRDefault="00BF3637" w:rsidP="00C55820">
            <w:pPr>
              <w:spacing w:line="276" w:lineRule="auto"/>
              <w:jc w:val="center"/>
            </w:pPr>
            <w:r w:rsidRPr="00BE2768">
              <w:t>10</w:t>
            </w:r>
          </w:p>
        </w:tc>
        <w:tc>
          <w:tcPr>
            <w:tcW w:w="688" w:type="dxa"/>
          </w:tcPr>
          <w:p w14:paraId="6220F240" w14:textId="3D1DD2A0" w:rsidR="00BF3637" w:rsidRPr="00BE2768" w:rsidRDefault="00BF3637" w:rsidP="00C55820">
            <w:pPr>
              <w:spacing w:line="276" w:lineRule="auto"/>
              <w:jc w:val="center"/>
            </w:pPr>
            <w:r w:rsidRPr="00BE2768">
              <w:t>14</w:t>
            </w:r>
          </w:p>
        </w:tc>
      </w:tr>
    </w:tbl>
    <w:p w14:paraId="3B92CCAA" w14:textId="00B1435B" w:rsidR="00BF3637" w:rsidRPr="00A35B14" w:rsidRDefault="00A35B14" w:rsidP="00A35B14">
      <w:pPr>
        <w:spacing w:before="0" w:after="0" w:line="240" w:lineRule="auto"/>
        <w:rPr>
          <w:i/>
          <w:sz w:val="20"/>
          <w:szCs w:val="20"/>
        </w:rPr>
      </w:pPr>
      <w:r w:rsidRPr="00A35B14">
        <w:rPr>
          <w:i/>
          <w:iCs/>
          <w:sz w:val="20"/>
          <w:szCs w:val="20"/>
          <w:vertAlign w:val="superscript"/>
        </w:rPr>
        <w:t>1</w:t>
      </w:r>
      <w:r w:rsidR="00BF3637" w:rsidRPr="00A35B14">
        <w:rPr>
          <w:sz w:val="20"/>
          <w:szCs w:val="20"/>
        </w:rPr>
        <w:t xml:space="preserve"> </w:t>
      </w:r>
      <w:r w:rsidR="00BF3637" w:rsidRPr="00A35B14">
        <w:rPr>
          <w:i/>
          <w:sz w:val="20"/>
          <w:szCs w:val="20"/>
        </w:rPr>
        <w:t>Date of suspension may vary from the case received date.</w:t>
      </w:r>
    </w:p>
    <w:p w14:paraId="478B5868" w14:textId="2B719F26" w:rsidR="00A35B14" w:rsidRPr="00A35B14" w:rsidRDefault="00A35B14" w:rsidP="00A35B14">
      <w:pPr>
        <w:spacing w:before="0" w:after="0" w:line="240" w:lineRule="auto"/>
        <w:rPr>
          <w:i/>
          <w:sz w:val="20"/>
          <w:szCs w:val="20"/>
          <w:vertAlign w:val="superscript"/>
        </w:rPr>
      </w:pPr>
      <w:r w:rsidRPr="00A35B14">
        <w:rPr>
          <w:i/>
          <w:sz w:val="20"/>
          <w:szCs w:val="20"/>
          <w:vertAlign w:val="superscript"/>
        </w:rPr>
        <w:t>2</w:t>
      </w:r>
      <w:r>
        <w:rPr>
          <w:i/>
          <w:sz w:val="20"/>
          <w:szCs w:val="20"/>
          <w:vertAlign w:val="superscript"/>
        </w:rPr>
        <w:t xml:space="preserve"> </w:t>
      </w:r>
      <w:r w:rsidRPr="00A35B14">
        <w:rPr>
          <w:i/>
          <w:sz w:val="20"/>
          <w:szCs w:val="20"/>
        </w:rPr>
        <w:t>D</w:t>
      </w:r>
      <w:r>
        <w:rPr>
          <w:i/>
          <w:sz w:val="20"/>
          <w:szCs w:val="20"/>
        </w:rPr>
        <w:t>ismissal is not a disposal for complaint cases</w:t>
      </w:r>
      <w:r w:rsidR="009A4DA6">
        <w:rPr>
          <w:i/>
          <w:sz w:val="20"/>
          <w:szCs w:val="20"/>
        </w:rPr>
        <w:t>.</w:t>
      </w:r>
    </w:p>
    <w:p w14:paraId="554F0537" w14:textId="1550ACA5" w:rsidR="004956B4" w:rsidRDefault="004956B4" w:rsidP="00C55820">
      <w:pPr>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508"/>
        <w:gridCol w:w="709"/>
        <w:gridCol w:w="709"/>
        <w:gridCol w:w="708"/>
      </w:tblGrid>
      <w:tr w:rsidR="00C55820" w:rsidRPr="00BE2768" w14:paraId="4C002E8B" w14:textId="77777777" w:rsidTr="00BE2768">
        <w:trPr>
          <w:trHeight w:val="315"/>
        </w:trPr>
        <w:tc>
          <w:tcPr>
            <w:tcW w:w="7508" w:type="dxa"/>
            <w:shd w:val="clear" w:color="auto" w:fill="D9D9D9" w:themeFill="background1" w:themeFillShade="D9"/>
          </w:tcPr>
          <w:p w14:paraId="7B2877CC" w14:textId="24F6BB86" w:rsidR="00C55820" w:rsidRPr="00BE2768" w:rsidRDefault="00C55820" w:rsidP="00C55820">
            <w:pPr>
              <w:spacing w:line="276" w:lineRule="auto"/>
              <w:rPr>
                <w:b/>
                <w:bCs/>
              </w:rPr>
            </w:pPr>
            <w:r w:rsidRPr="00BE2768">
              <w:rPr>
                <w:b/>
                <w:bCs/>
              </w:rPr>
              <w:t>Subject officers linked to allegations categorised as indecent assault (conduct)</w:t>
            </w:r>
          </w:p>
        </w:tc>
        <w:tc>
          <w:tcPr>
            <w:tcW w:w="709" w:type="dxa"/>
            <w:shd w:val="clear" w:color="auto" w:fill="D9D9D9" w:themeFill="background1" w:themeFillShade="D9"/>
          </w:tcPr>
          <w:p w14:paraId="5A88CFB5" w14:textId="77777777" w:rsidR="00C55820" w:rsidRPr="00BE2768" w:rsidRDefault="00C55820" w:rsidP="00C55820">
            <w:pPr>
              <w:spacing w:line="276" w:lineRule="auto"/>
              <w:jc w:val="center"/>
              <w:rPr>
                <w:b/>
                <w:bCs/>
              </w:rPr>
            </w:pPr>
            <w:r w:rsidRPr="00BE2768">
              <w:rPr>
                <w:b/>
                <w:bCs/>
              </w:rPr>
              <w:t>2019</w:t>
            </w:r>
          </w:p>
        </w:tc>
        <w:tc>
          <w:tcPr>
            <w:tcW w:w="709" w:type="dxa"/>
            <w:shd w:val="clear" w:color="auto" w:fill="D9D9D9" w:themeFill="background1" w:themeFillShade="D9"/>
          </w:tcPr>
          <w:p w14:paraId="4D9543AC" w14:textId="77777777" w:rsidR="00C55820" w:rsidRPr="00BE2768" w:rsidRDefault="00C55820" w:rsidP="00C55820">
            <w:pPr>
              <w:spacing w:line="276" w:lineRule="auto"/>
              <w:jc w:val="center"/>
              <w:rPr>
                <w:b/>
                <w:bCs/>
              </w:rPr>
            </w:pPr>
            <w:r w:rsidRPr="00BE2768">
              <w:rPr>
                <w:b/>
                <w:bCs/>
              </w:rPr>
              <w:t>2020</w:t>
            </w:r>
          </w:p>
        </w:tc>
        <w:tc>
          <w:tcPr>
            <w:tcW w:w="708" w:type="dxa"/>
            <w:shd w:val="clear" w:color="auto" w:fill="D9D9D9" w:themeFill="background1" w:themeFillShade="D9"/>
          </w:tcPr>
          <w:p w14:paraId="7251ED0E" w14:textId="77777777" w:rsidR="00C55820" w:rsidRPr="00BE2768" w:rsidRDefault="00C55820" w:rsidP="00C55820">
            <w:pPr>
              <w:spacing w:line="276" w:lineRule="auto"/>
              <w:jc w:val="center"/>
              <w:rPr>
                <w:b/>
                <w:bCs/>
              </w:rPr>
            </w:pPr>
            <w:r w:rsidRPr="00BE2768">
              <w:rPr>
                <w:b/>
                <w:bCs/>
              </w:rPr>
              <w:t>2021</w:t>
            </w:r>
          </w:p>
        </w:tc>
      </w:tr>
      <w:tr w:rsidR="00C55820" w:rsidRPr="00BE2768" w14:paraId="396CA18F" w14:textId="77777777" w:rsidTr="00BE2768">
        <w:trPr>
          <w:trHeight w:val="315"/>
        </w:trPr>
        <w:tc>
          <w:tcPr>
            <w:tcW w:w="7508" w:type="dxa"/>
          </w:tcPr>
          <w:p w14:paraId="3E065919" w14:textId="77777777" w:rsidR="00C55820" w:rsidRPr="00BE2768" w:rsidRDefault="00C55820" w:rsidP="00C55820">
            <w:pPr>
              <w:spacing w:line="276" w:lineRule="auto"/>
            </w:pPr>
            <w:r w:rsidRPr="00BE2768">
              <w:t>Number of subject officers</w:t>
            </w:r>
          </w:p>
        </w:tc>
        <w:tc>
          <w:tcPr>
            <w:tcW w:w="709" w:type="dxa"/>
          </w:tcPr>
          <w:p w14:paraId="1494DC51" w14:textId="77777777" w:rsidR="00C55820" w:rsidRPr="00BE2768" w:rsidRDefault="00C55820" w:rsidP="00C55820">
            <w:pPr>
              <w:spacing w:line="276" w:lineRule="auto"/>
              <w:jc w:val="center"/>
            </w:pPr>
            <w:r w:rsidRPr="00BE2768">
              <w:t>7</w:t>
            </w:r>
          </w:p>
        </w:tc>
        <w:tc>
          <w:tcPr>
            <w:tcW w:w="709" w:type="dxa"/>
          </w:tcPr>
          <w:p w14:paraId="2DD4C6CD" w14:textId="77777777" w:rsidR="00C55820" w:rsidRPr="00BE2768" w:rsidRDefault="00C55820" w:rsidP="00C55820">
            <w:pPr>
              <w:spacing w:line="276" w:lineRule="auto"/>
              <w:jc w:val="center"/>
            </w:pPr>
            <w:r w:rsidRPr="00BE2768">
              <w:t>6</w:t>
            </w:r>
          </w:p>
        </w:tc>
        <w:tc>
          <w:tcPr>
            <w:tcW w:w="708" w:type="dxa"/>
          </w:tcPr>
          <w:p w14:paraId="56DB62DD" w14:textId="77777777" w:rsidR="00C55820" w:rsidRPr="00BE2768" w:rsidRDefault="00C55820" w:rsidP="00C55820">
            <w:pPr>
              <w:spacing w:line="276" w:lineRule="auto"/>
              <w:jc w:val="center"/>
            </w:pPr>
            <w:r w:rsidRPr="00BE2768">
              <w:t>5</w:t>
            </w:r>
          </w:p>
        </w:tc>
      </w:tr>
      <w:tr w:rsidR="00CF54D3" w:rsidRPr="00BE2768" w14:paraId="31067CE0" w14:textId="77777777" w:rsidTr="00BE2768">
        <w:trPr>
          <w:trHeight w:val="315"/>
        </w:trPr>
        <w:tc>
          <w:tcPr>
            <w:tcW w:w="7508" w:type="dxa"/>
          </w:tcPr>
          <w:p w14:paraId="009809E6" w14:textId="509B92EF" w:rsidR="00CF54D3" w:rsidRPr="00BE2768" w:rsidRDefault="00CF54D3" w:rsidP="00C55820">
            <w:pPr>
              <w:spacing w:line="276" w:lineRule="auto"/>
            </w:pPr>
            <w:r w:rsidRPr="00BE2768">
              <w:t>Number suspended</w:t>
            </w:r>
            <w:r w:rsidR="00BE2768">
              <w:rPr>
                <w:vertAlign w:val="superscript"/>
              </w:rPr>
              <w:t xml:space="preserve"> </w:t>
            </w:r>
            <w:r w:rsidR="00A35B14" w:rsidRPr="00BE2768">
              <w:rPr>
                <w:vertAlign w:val="superscript"/>
              </w:rPr>
              <w:t>1</w:t>
            </w:r>
          </w:p>
        </w:tc>
        <w:tc>
          <w:tcPr>
            <w:tcW w:w="709" w:type="dxa"/>
          </w:tcPr>
          <w:p w14:paraId="63C07DAA" w14:textId="598EC2C0" w:rsidR="00CF54D3" w:rsidRPr="00BE2768" w:rsidRDefault="00CF54D3" w:rsidP="00C55820">
            <w:pPr>
              <w:spacing w:line="276" w:lineRule="auto"/>
              <w:jc w:val="center"/>
            </w:pPr>
            <w:r w:rsidRPr="00BE2768">
              <w:t>5</w:t>
            </w:r>
          </w:p>
        </w:tc>
        <w:tc>
          <w:tcPr>
            <w:tcW w:w="709" w:type="dxa"/>
          </w:tcPr>
          <w:p w14:paraId="6AA1DD0A" w14:textId="54D2304B" w:rsidR="00CF54D3" w:rsidRPr="00BE2768" w:rsidRDefault="00CF54D3" w:rsidP="00C55820">
            <w:pPr>
              <w:spacing w:line="276" w:lineRule="auto"/>
              <w:jc w:val="center"/>
            </w:pPr>
            <w:r w:rsidRPr="00BE2768">
              <w:t>3</w:t>
            </w:r>
          </w:p>
        </w:tc>
        <w:tc>
          <w:tcPr>
            <w:tcW w:w="708" w:type="dxa"/>
          </w:tcPr>
          <w:p w14:paraId="5EA9BEB8" w14:textId="1E938058" w:rsidR="00CF54D3" w:rsidRPr="00BE2768" w:rsidRDefault="00CF54D3" w:rsidP="00C55820">
            <w:pPr>
              <w:spacing w:line="276" w:lineRule="auto"/>
              <w:jc w:val="center"/>
            </w:pPr>
            <w:r w:rsidRPr="00BE2768">
              <w:t>4</w:t>
            </w:r>
          </w:p>
        </w:tc>
      </w:tr>
      <w:tr w:rsidR="00CF54D3" w:rsidRPr="00BE2768" w14:paraId="0BD1C165" w14:textId="77777777" w:rsidTr="00BE2768">
        <w:trPr>
          <w:trHeight w:val="315"/>
        </w:trPr>
        <w:tc>
          <w:tcPr>
            <w:tcW w:w="7508" w:type="dxa"/>
          </w:tcPr>
          <w:p w14:paraId="7624A6CA" w14:textId="492D81DA" w:rsidR="00CF54D3" w:rsidRPr="00BE2768" w:rsidRDefault="00CF54D3" w:rsidP="00C55820">
            <w:pPr>
              <w:spacing w:line="276" w:lineRule="auto"/>
            </w:pPr>
            <w:r w:rsidRPr="00BE2768">
              <w:t>Number dismissed</w:t>
            </w:r>
            <w:r w:rsidR="00BE2768">
              <w:rPr>
                <w:vertAlign w:val="superscript"/>
              </w:rPr>
              <w:t xml:space="preserve"> </w:t>
            </w:r>
            <w:r w:rsidR="009A4DA6" w:rsidRPr="00BE2768">
              <w:rPr>
                <w:vertAlign w:val="superscript"/>
              </w:rPr>
              <w:t>2</w:t>
            </w:r>
          </w:p>
        </w:tc>
        <w:tc>
          <w:tcPr>
            <w:tcW w:w="709" w:type="dxa"/>
          </w:tcPr>
          <w:p w14:paraId="771F8B7D" w14:textId="7586A0AB" w:rsidR="00CF54D3" w:rsidRPr="00BE2768" w:rsidRDefault="00CF54D3" w:rsidP="00C55820">
            <w:pPr>
              <w:spacing w:line="276" w:lineRule="auto"/>
              <w:jc w:val="center"/>
            </w:pPr>
            <w:r w:rsidRPr="00BE2768">
              <w:t>0</w:t>
            </w:r>
          </w:p>
        </w:tc>
        <w:tc>
          <w:tcPr>
            <w:tcW w:w="709" w:type="dxa"/>
          </w:tcPr>
          <w:p w14:paraId="10374136" w14:textId="48CEC44B" w:rsidR="00CF54D3" w:rsidRPr="00BE2768" w:rsidRDefault="00CF54D3" w:rsidP="00C55820">
            <w:pPr>
              <w:spacing w:line="276" w:lineRule="auto"/>
              <w:jc w:val="center"/>
            </w:pPr>
            <w:r w:rsidRPr="00BE2768">
              <w:t>0</w:t>
            </w:r>
          </w:p>
        </w:tc>
        <w:tc>
          <w:tcPr>
            <w:tcW w:w="708" w:type="dxa"/>
          </w:tcPr>
          <w:p w14:paraId="32CD5F67" w14:textId="3F4D5AF8" w:rsidR="00CF54D3" w:rsidRPr="00BE2768" w:rsidRDefault="00CF54D3" w:rsidP="00C55820">
            <w:pPr>
              <w:spacing w:line="276" w:lineRule="auto"/>
              <w:jc w:val="center"/>
            </w:pPr>
            <w:r w:rsidRPr="00BE2768">
              <w:t>0</w:t>
            </w:r>
          </w:p>
        </w:tc>
      </w:tr>
      <w:tr w:rsidR="00BF3637" w:rsidRPr="00BE2768" w14:paraId="6A167398" w14:textId="77777777" w:rsidTr="00BE2768">
        <w:trPr>
          <w:trHeight w:val="315"/>
        </w:trPr>
        <w:tc>
          <w:tcPr>
            <w:tcW w:w="7508" w:type="dxa"/>
          </w:tcPr>
          <w:p w14:paraId="17155F30" w14:textId="3D3D8480" w:rsidR="00BF3637" w:rsidRPr="00BE2768" w:rsidRDefault="00BF3637" w:rsidP="00C55820">
            <w:pPr>
              <w:spacing w:line="276" w:lineRule="auto"/>
            </w:pPr>
            <w:r w:rsidRPr="00BE2768">
              <w:t>Number of subject officers in service as at 11/10/2023</w:t>
            </w:r>
          </w:p>
        </w:tc>
        <w:tc>
          <w:tcPr>
            <w:tcW w:w="709" w:type="dxa"/>
          </w:tcPr>
          <w:p w14:paraId="29F16DFC" w14:textId="7C10F0A6" w:rsidR="00BF3637" w:rsidRPr="00BE2768" w:rsidRDefault="00BF3637" w:rsidP="00C55820">
            <w:pPr>
              <w:spacing w:line="276" w:lineRule="auto"/>
              <w:jc w:val="center"/>
            </w:pPr>
            <w:r w:rsidRPr="00BE2768">
              <w:t>3</w:t>
            </w:r>
          </w:p>
        </w:tc>
        <w:tc>
          <w:tcPr>
            <w:tcW w:w="709" w:type="dxa"/>
          </w:tcPr>
          <w:p w14:paraId="2E152335" w14:textId="30ECFB74" w:rsidR="00BF3637" w:rsidRPr="00BE2768" w:rsidRDefault="00BF3637" w:rsidP="00C55820">
            <w:pPr>
              <w:spacing w:line="276" w:lineRule="auto"/>
              <w:jc w:val="center"/>
            </w:pPr>
            <w:r w:rsidRPr="00BE2768">
              <w:t>4</w:t>
            </w:r>
          </w:p>
        </w:tc>
        <w:tc>
          <w:tcPr>
            <w:tcW w:w="708" w:type="dxa"/>
          </w:tcPr>
          <w:p w14:paraId="7BF466BE" w14:textId="0E776164" w:rsidR="00BF3637" w:rsidRPr="00BE2768" w:rsidRDefault="00BF3637" w:rsidP="00C55820">
            <w:pPr>
              <w:spacing w:line="276" w:lineRule="auto"/>
              <w:jc w:val="center"/>
            </w:pPr>
            <w:r w:rsidRPr="00BE2768">
              <w:t>2</w:t>
            </w:r>
          </w:p>
        </w:tc>
      </w:tr>
    </w:tbl>
    <w:p w14:paraId="040E88C9" w14:textId="71DB56F1" w:rsidR="00A35B14" w:rsidRDefault="00A35B14" w:rsidP="00A35B14">
      <w:pPr>
        <w:spacing w:before="0" w:after="0" w:line="240" w:lineRule="auto"/>
        <w:rPr>
          <w:i/>
          <w:sz w:val="20"/>
          <w:szCs w:val="20"/>
        </w:rPr>
      </w:pPr>
      <w:r w:rsidRPr="00A35B14">
        <w:rPr>
          <w:i/>
          <w:iCs/>
          <w:sz w:val="20"/>
          <w:szCs w:val="20"/>
          <w:vertAlign w:val="superscript"/>
        </w:rPr>
        <w:t>1</w:t>
      </w:r>
      <w:r w:rsidRPr="00A35B14">
        <w:rPr>
          <w:sz w:val="20"/>
          <w:szCs w:val="20"/>
        </w:rPr>
        <w:t xml:space="preserve"> </w:t>
      </w:r>
      <w:r w:rsidRPr="00A35B14">
        <w:rPr>
          <w:i/>
          <w:sz w:val="20"/>
          <w:szCs w:val="20"/>
        </w:rPr>
        <w:t>Date of suspension may vary from the case received date.</w:t>
      </w:r>
    </w:p>
    <w:p w14:paraId="6A2C707C" w14:textId="06A35816" w:rsidR="009A4DA6" w:rsidRPr="009A4DA6" w:rsidRDefault="009A4DA6" w:rsidP="00A35B14">
      <w:pPr>
        <w:spacing w:before="0" w:after="0" w:line="240" w:lineRule="auto"/>
        <w:rPr>
          <w:i/>
          <w:sz w:val="20"/>
          <w:szCs w:val="20"/>
        </w:rPr>
      </w:pPr>
      <w:r w:rsidRPr="009A4DA6">
        <w:rPr>
          <w:i/>
          <w:sz w:val="20"/>
          <w:szCs w:val="20"/>
          <w:vertAlign w:val="superscript"/>
        </w:rPr>
        <w:t>2</w:t>
      </w:r>
      <w:r>
        <w:rPr>
          <w:i/>
          <w:sz w:val="20"/>
          <w:szCs w:val="20"/>
          <w:vertAlign w:val="superscript"/>
        </w:rPr>
        <w:t xml:space="preserve"> </w:t>
      </w:r>
      <w:r>
        <w:rPr>
          <w:i/>
          <w:sz w:val="20"/>
          <w:szCs w:val="20"/>
        </w:rPr>
        <w:t xml:space="preserve">Cases </w:t>
      </w:r>
      <w:r w:rsidRPr="009A4DA6">
        <w:rPr>
          <w:i/>
          <w:sz w:val="20"/>
          <w:szCs w:val="20"/>
        </w:rPr>
        <w:t>may remain subject to live enquiry, in terms of criminal investigation or the misconduct process, and/or legal proceedings therefore, these matters may not yet be concluded.</w:t>
      </w:r>
    </w:p>
    <w:p w14:paraId="07176641" w14:textId="46F906F7" w:rsidR="00C55820" w:rsidRPr="00C55820" w:rsidRDefault="00C55820" w:rsidP="00C55820"/>
    <w:p w14:paraId="00325197" w14:textId="325226BC" w:rsidR="00496A08" w:rsidRPr="00BF6B81" w:rsidRDefault="00496A08" w:rsidP="00793DD5">
      <w:r>
        <w:lastRenderedPageBreak/>
        <w:t xml:space="preserve">If you require any further </w:t>
      </w:r>
      <w:r w:rsidRPr="00874BFD">
        <w:t>assistance</w:t>
      </w:r>
      <w:r w:rsidR="00C55820">
        <w:t>,</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40F2D7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57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03EAFE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57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737E51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57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52DB05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57D7">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0E824F3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57D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11E53A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57D7">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654E4"/>
    <w:multiLevelType w:val="hybridMultilevel"/>
    <w:tmpl w:val="FAD44D9E"/>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0667774"/>
    <w:multiLevelType w:val="hybridMultilevel"/>
    <w:tmpl w:val="1812EDFE"/>
    <w:lvl w:ilvl="0" w:tplc="7256ABB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6A576A"/>
    <w:multiLevelType w:val="hybridMultilevel"/>
    <w:tmpl w:val="79D8C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5682401">
    <w:abstractNumId w:val="3"/>
  </w:num>
  <w:num w:numId="2" w16cid:durableId="236332133">
    <w:abstractNumId w:val="2"/>
  </w:num>
  <w:num w:numId="3" w16cid:durableId="94207955">
    <w:abstractNumId w:val="1"/>
  </w:num>
  <w:num w:numId="4" w16cid:durableId="80045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275F28"/>
    <w:rsid w:val="0036503B"/>
    <w:rsid w:val="003D6D03"/>
    <w:rsid w:val="003E12CA"/>
    <w:rsid w:val="004010DC"/>
    <w:rsid w:val="00405611"/>
    <w:rsid w:val="004341F0"/>
    <w:rsid w:val="00456324"/>
    <w:rsid w:val="0045664C"/>
    <w:rsid w:val="00475460"/>
    <w:rsid w:val="00490317"/>
    <w:rsid w:val="00491644"/>
    <w:rsid w:val="004956B4"/>
    <w:rsid w:val="00496A08"/>
    <w:rsid w:val="004E1303"/>
    <w:rsid w:val="004E1605"/>
    <w:rsid w:val="004F653C"/>
    <w:rsid w:val="00540A52"/>
    <w:rsid w:val="00557306"/>
    <w:rsid w:val="005C303F"/>
    <w:rsid w:val="005C5A90"/>
    <w:rsid w:val="006A55B6"/>
    <w:rsid w:val="00744955"/>
    <w:rsid w:val="00750D83"/>
    <w:rsid w:val="00793DD5"/>
    <w:rsid w:val="007D55F6"/>
    <w:rsid w:val="007F490F"/>
    <w:rsid w:val="0086779C"/>
    <w:rsid w:val="00874BFD"/>
    <w:rsid w:val="008964EF"/>
    <w:rsid w:val="009631A4"/>
    <w:rsid w:val="00977296"/>
    <w:rsid w:val="009A4DA6"/>
    <w:rsid w:val="00A16785"/>
    <w:rsid w:val="00A25E93"/>
    <w:rsid w:val="00A314E5"/>
    <w:rsid w:val="00A320FF"/>
    <w:rsid w:val="00A35B14"/>
    <w:rsid w:val="00A70AC0"/>
    <w:rsid w:val="00A75124"/>
    <w:rsid w:val="00A757D7"/>
    <w:rsid w:val="00AC443C"/>
    <w:rsid w:val="00B11A55"/>
    <w:rsid w:val="00B17211"/>
    <w:rsid w:val="00B461B2"/>
    <w:rsid w:val="00B71B3C"/>
    <w:rsid w:val="00BC389E"/>
    <w:rsid w:val="00BE2768"/>
    <w:rsid w:val="00BF3637"/>
    <w:rsid w:val="00BF6B81"/>
    <w:rsid w:val="00C077A8"/>
    <w:rsid w:val="00C55820"/>
    <w:rsid w:val="00C606A2"/>
    <w:rsid w:val="00C63872"/>
    <w:rsid w:val="00C84948"/>
    <w:rsid w:val="00CF1111"/>
    <w:rsid w:val="00CF54D3"/>
    <w:rsid w:val="00D05706"/>
    <w:rsid w:val="00D27DC5"/>
    <w:rsid w:val="00D47E36"/>
    <w:rsid w:val="00E55D79"/>
    <w:rsid w:val="00EC18E4"/>
    <w:rsid w:val="00ED5586"/>
    <w:rsid w:val="00EF4761"/>
    <w:rsid w:val="00F9734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1">
    <w:name w:val="Unresolved Mention1"/>
    <w:basedOn w:val="DefaultParagraphFont"/>
    <w:uiPriority w:val="99"/>
    <w:semiHidden/>
    <w:unhideWhenUsed/>
    <w:rsid w:val="00C55820"/>
    <w:rPr>
      <w:color w:val="605E5C"/>
      <w:shd w:val="clear" w:color="auto" w:fill="E1DFDD"/>
    </w:rPr>
  </w:style>
  <w:style w:type="character" w:styleId="FollowedHyperlink">
    <w:name w:val="FollowedHyperlink"/>
    <w:basedOn w:val="DefaultParagraphFont"/>
    <w:uiPriority w:val="99"/>
    <w:semiHidden/>
    <w:unhideWhenUsed/>
    <w:rsid w:val="00A314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00580">
      <w:bodyDiv w:val="1"/>
      <w:marLeft w:val="0"/>
      <w:marRight w:val="0"/>
      <w:marTop w:val="0"/>
      <w:marBottom w:val="0"/>
      <w:divBdr>
        <w:top w:val="none" w:sz="0" w:space="0" w:color="auto"/>
        <w:left w:val="none" w:sz="0" w:space="0" w:color="auto"/>
        <w:bottom w:val="none" w:sz="0" w:space="0" w:color="auto"/>
        <w:right w:val="none" w:sz="0" w:space="0" w:color="auto"/>
      </w:divBdr>
    </w:div>
    <w:div w:id="7094524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yperlink" Target="https://www.scotland.police.uk/spa-media/3mbmetbo/suspension-from-duty-sop.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scotland.police.uk/spa-media/lgyddvsi/complaints-about-the-police-sop.docx"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lgyddvsi/complaints-about-the-police-sop.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hyperlink" Target="https://www.scotland.police.uk/about-us/who-we-are/our-standards-of-professional-behaviou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1144</Words>
  <Characters>6522</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2023-12-21T14:13:00Z</cp:lastPrinted>
  <dcterms:created xsi:type="dcterms:W3CDTF">2023-12-13T18:27:00Z</dcterms:created>
  <dcterms:modified xsi:type="dcterms:W3CDTF">2023-12-21T14:13:00Z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