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5A61" w14:textId="77777777" w:rsidR="007240CD" w:rsidRDefault="007240CD" w:rsidP="009A13A9">
      <w:bookmarkStart w:id="0" w:name="_Hlk137631584"/>
    </w:p>
    <w:p w14:paraId="5F5FA0D2" w14:textId="77777777" w:rsidR="007240CD" w:rsidRDefault="007240CD" w:rsidP="009A13A9"/>
    <w:p w14:paraId="72A98DEC" w14:textId="69052532" w:rsidR="007240CD" w:rsidRDefault="007240CD" w:rsidP="009A13A9"/>
    <w:p w14:paraId="6DB69DAE" w14:textId="4A9EF2D3" w:rsidR="007240CD" w:rsidRDefault="00F30DF7" w:rsidP="00F30DF7">
      <w:pPr>
        <w:jc w:val="center"/>
      </w:pPr>
      <w:r>
        <w:rPr>
          <w:noProof/>
          <w:lang w:eastAsia="en-GB"/>
        </w:rPr>
        <w:drawing>
          <wp:inline distT="0" distB="0" distL="0" distR="0" wp14:anchorId="1EDD1BA6" wp14:editId="231D74C7">
            <wp:extent cx="5486400" cy="1118082"/>
            <wp:effectExtent l="0" t="0" r="0" b="6350"/>
            <wp:docPr id="1" name="Picture 1" descr="This is a picture of the Scottish Police Authority logo alongside the Police Scotland Crest. Both Scottish Police Authority and Police Scotland text have Gaelic translations.&#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8873" cy="1128776"/>
                    </a:xfrm>
                    <a:prstGeom prst="rect">
                      <a:avLst/>
                    </a:prstGeom>
                    <a:noFill/>
                    <a:ln>
                      <a:noFill/>
                    </a:ln>
                  </pic:spPr>
                </pic:pic>
              </a:graphicData>
            </a:graphic>
          </wp:inline>
        </w:drawing>
      </w:r>
    </w:p>
    <w:p w14:paraId="02A2FE25" w14:textId="330F2CD0" w:rsidR="005D0111" w:rsidRDefault="00332BD1" w:rsidP="00A335FA">
      <w:pPr>
        <w:pStyle w:val="Heading1"/>
      </w:pPr>
      <w:r>
        <w:t>Leavers</w:t>
      </w:r>
    </w:p>
    <w:p w14:paraId="7288B0A2" w14:textId="2FA8A8C5" w:rsidR="0054044C" w:rsidRDefault="005F0AF9" w:rsidP="00E34CBC">
      <w:pPr>
        <w:spacing w:after="240"/>
        <w:rPr>
          <w:sz w:val="32"/>
        </w:rPr>
      </w:pPr>
      <w:r w:rsidRPr="005F0AF9">
        <w:rPr>
          <w:sz w:val="32"/>
        </w:rPr>
        <w:t>Procedure</w:t>
      </w:r>
    </w:p>
    <w:p w14:paraId="4FBC703B" w14:textId="77777777" w:rsidR="00E34CBC" w:rsidRDefault="00E34CBC" w:rsidP="00E34CBC">
      <w:pPr>
        <w:spacing w:after="960"/>
      </w:pPr>
      <w: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2ABAC991" w14:textId="75F8CB73" w:rsidR="00AC70EB" w:rsidRPr="00AC70EB" w:rsidRDefault="00AC70EB" w:rsidP="00E34CBC">
      <w:r w:rsidRPr="00F03D31">
        <w:t>Policy</w:t>
      </w:r>
      <w:r w:rsidRPr="00AC70EB">
        <w:t xml:space="preserve">: </w:t>
      </w:r>
      <w:r w:rsidR="00B4344E">
        <w:tab/>
      </w:r>
      <w:r w:rsidR="008B5676">
        <w:tab/>
      </w:r>
      <w:r w:rsidR="008B5676">
        <w:tab/>
      </w:r>
      <w:r w:rsidR="00332BD1">
        <w:t>Resourcing</w:t>
      </w:r>
    </w:p>
    <w:p w14:paraId="05DF76E2" w14:textId="06B34DFF" w:rsidR="00AC70EB" w:rsidRPr="00AC70EB" w:rsidRDefault="00AC70EB" w:rsidP="00B4344E">
      <w:pPr>
        <w:tabs>
          <w:tab w:val="left" w:pos="2835"/>
        </w:tabs>
      </w:pPr>
      <w:r w:rsidRPr="00AC70EB">
        <w:t xml:space="preserve">Owning Department: </w:t>
      </w:r>
      <w:r w:rsidR="00B4344E">
        <w:tab/>
      </w:r>
      <w:r w:rsidR="00332BD1">
        <w:t>People and Development</w:t>
      </w:r>
    </w:p>
    <w:p w14:paraId="0786B706" w14:textId="78AB3EDA" w:rsidR="00AC70EB" w:rsidRPr="00AC70EB" w:rsidRDefault="00AC70EB" w:rsidP="00B4344E">
      <w:pPr>
        <w:tabs>
          <w:tab w:val="left" w:pos="2835"/>
        </w:tabs>
      </w:pPr>
      <w:r w:rsidRPr="00AC70EB">
        <w:t xml:space="preserve">Version Number: </w:t>
      </w:r>
      <w:r w:rsidR="00B4344E">
        <w:tab/>
      </w:r>
      <w:r w:rsidR="006832E3">
        <w:t>To be published as version 5.00</w:t>
      </w:r>
    </w:p>
    <w:p w14:paraId="5BE9747A" w14:textId="5EE4308D" w:rsidR="00AC70EB" w:rsidRPr="00AC70EB" w:rsidRDefault="005F0AF9" w:rsidP="00B4344E">
      <w:pPr>
        <w:tabs>
          <w:tab w:val="left" w:pos="2835"/>
        </w:tabs>
      </w:pPr>
      <w:r w:rsidRPr="00AC70EB">
        <w:t xml:space="preserve">Date </w:t>
      </w:r>
      <w:r w:rsidR="00AC70EB" w:rsidRPr="00AC70EB">
        <w:t xml:space="preserve">Published: </w:t>
      </w:r>
      <w:r w:rsidR="00B4344E">
        <w:tab/>
      </w:r>
      <w:r w:rsidR="00C06469">
        <w:t>26/06/2023</w:t>
      </w:r>
    </w:p>
    <w:p w14:paraId="4DC10398" w14:textId="5064ED15" w:rsidR="004237D0" w:rsidRDefault="00AC70EB" w:rsidP="00C96594">
      <w:pPr>
        <w:tabs>
          <w:tab w:val="left" w:pos="2835"/>
        </w:tabs>
      </w:pPr>
      <w:r w:rsidRPr="00AC70EB">
        <w:t>Theme(s):</w:t>
      </w:r>
      <w:r w:rsidR="00B4344E">
        <w:tab/>
      </w:r>
      <w:r w:rsidR="00332BD1">
        <w:t>Your work and life</w:t>
      </w:r>
    </w:p>
    <w:bookmarkEnd w:id="0" w:displacedByCustomXml="next"/>
    <w:sdt>
      <w:sdtPr>
        <w:rPr>
          <w:rFonts w:eastAsiaTheme="minorHAnsi" w:cstheme="minorBidi"/>
          <w:b w:val="0"/>
          <w:sz w:val="24"/>
          <w:szCs w:val="24"/>
          <w:lang w:val="en-GB"/>
        </w:rPr>
        <w:id w:val="-544519852"/>
        <w:docPartObj>
          <w:docPartGallery w:val="Table of Contents"/>
          <w:docPartUnique/>
        </w:docPartObj>
      </w:sdtPr>
      <w:sdtEndPr>
        <w:rPr>
          <w:bCs/>
          <w:noProof/>
        </w:rPr>
      </w:sdtEndPr>
      <w:sdtContent>
        <w:p w14:paraId="13DABE1C" w14:textId="0A0EAB17" w:rsidR="005F0AF9" w:rsidRDefault="005F0AF9" w:rsidP="00A335FA">
          <w:pPr>
            <w:pStyle w:val="TOCHeading"/>
          </w:pPr>
          <w:r>
            <w:t>Contents</w:t>
          </w:r>
        </w:p>
        <w:p w14:paraId="6A9640F4" w14:textId="7D544810" w:rsidR="003E459D" w:rsidRDefault="005F0AF9">
          <w:pPr>
            <w:pStyle w:val="TOC2"/>
            <w:tabs>
              <w:tab w:val="left" w:pos="880"/>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"2-3" \h \z \u \t "Resources Page,1" </w:instrText>
          </w:r>
          <w:r>
            <w:rPr>
              <w:b/>
              <w:bCs/>
              <w:noProof/>
            </w:rPr>
            <w:fldChar w:fldCharType="separate"/>
          </w:r>
          <w:hyperlink w:anchor="_Toc137651094" w:history="1">
            <w:r w:rsidR="003E459D" w:rsidRPr="006D007E">
              <w:rPr>
                <w:rStyle w:val="Hyperlink"/>
                <w:noProof/>
              </w:rPr>
              <w:t>1.</w:t>
            </w:r>
            <w:r w:rsidR="003E459D">
              <w:rPr>
                <w:rFonts w:asciiTheme="minorHAnsi" w:eastAsiaTheme="minorEastAsia" w:hAnsiTheme="minorHAnsi"/>
                <w:noProof/>
                <w:sz w:val="22"/>
                <w:szCs w:val="22"/>
                <w:lang w:eastAsia="en-GB"/>
              </w:rPr>
              <w:tab/>
            </w:r>
            <w:r w:rsidR="003E459D" w:rsidRPr="006D007E">
              <w:rPr>
                <w:rStyle w:val="Hyperlink"/>
                <w:noProof/>
              </w:rPr>
              <w:t>Overview</w:t>
            </w:r>
            <w:r w:rsidR="003E459D">
              <w:rPr>
                <w:noProof/>
                <w:webHidden/>
              </w:rPr>
              <w:tab/>
            </w:r>
            <w:r w:rsidR="003E459D">
              <w:rPr>
                <w:noProof/>
                <w:webHidden/>
              </w:rPr>
              <w:fldChar w:fldCharType="begin"/>
            </w:r>
            <w:r w:rsidR="003E459D">
              <w:rPr>
                <w:noProof/>
                <w:webHidden/>
              </w:rPr>
              <w:instrText xml:space="preserve"> PAGEREF _Toc137651094 \h </w:instrText>
            </w:r>
            <w:r w:rsidR="003E459D">
              <w:rPr>
                <w:noProof/>
                <w:webHidden/>
              </w:rPr>
            </w:r>
            <w:r w:rsidR="003E459D">
              <w:rPr>
                <w:noProof/>
                <w:webHidden/>
              </w:rPr>
              <w:fldChar w:fldCharType="separate"/>
            </w:r>
            <w:r w:rsidR="003E459D">
              <w:rPr>
                <w:noProof/>
                <w:webHidden/>
              </w:rPr>
              <w:t>3</w:t>
            </w:r>
            <w:r w:rsidR="003E459D">
              <w:rPr>
                <w:noProof/>
                <w:webHidden/>
              </w:rPr>
              <w:fldChar w:fldCharType="end"/>
            </w:r>
          </w:hyperlink>
        </w:p>
        <w:p w14:paraId="2146CEBF" w14:textId="5772E83A"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095" w:history="1">
            <w:r w:rsidR="003E459D" w:rsidRPr="006D007E">
              <w:rPr>
                <w:rStyle w:val="Hyperlink"/>
                <w:noProof/>
              </w:rPr>
              <w:t>1.1.</w:t>
            </w:r>
            <w:r w:rsidR="003E459D">
              <w:rPr>
                <w:rFonts w:asciiTheme="minorHAnsi" w:eastAsiaTheme="minorEastAsia" w:hAnsiTheme="minorHAnsi"/>
                <w:noProof/>
                <w:sz w:val="22"/>
                <w:szCs w:val="22"/>
                <w:lang w:eastAsia="en-GB"/>
              </w:rPr>
              <w:tab/>
            </w:r>
            <w:r w:rsidR="003E459D" w:rsidRPr="006D007E">
              <w:rPr>
                <w:rStyle w:val="Hyperlink"/>
                <w:noProof/>
              </w:rPr>
              <w:t>What is this about?</w:t>
            </w:r>
            <w:r w:rsidR="003E459D">
              <w:rPr>
                <w:noProof/>
                <w:webHidden/>
              </w:rPr>
              <w:tab/>
            </w:r>
            <w:r w:rsidR="003E459D">
              <w:rPr>
                <w:noProof/>
                <w:webHidden/>
              </w:rPr>
              <w:fldChar w:fldCharType="begin"/>
            </w:r>
            <w:r w:rsidR="003E459D">
              <w:rPr>
                <w:noProof/>
                <w:webHidden/>
              </w:rPr>
              <w:instrText xml:space="preserve"> PAGEREF _Toc137651095 \h </w:instrText>
            </w:r>
            <w:r w:rsidR="003E459D">
              <w:rPr>
                <w:noProof/>
                <w:webHidden/>
              </w:rPr>
            </w:r>
            <w:r w:rsidR="003E459D">
              <w:rPr>
                <w:noProof/>
                <w:webHidden/>
              </w:rPr>
              <w:fldChar w:fldCharType="separate"/>
            </w:r>
            <w:r w:rsidR="003E459D">
              <w:rPr>
                <w:noProof/>
                <w:webHidden/>
              </w:rPr>
              <w:t>3</w:t>
            </w:r>
            <w:r w:rsidR="003E459D">
              <w:rPr>
                <w:noProof/>
                <w:webHidden/>
              </w:rPr>
              <w:fldChar w:fldCharType="end"/>
            </w:r>
          </w:hyperlink>
        </w:p>
        <w:p w14:paraId="347643C3" w14:textId="42996E3C"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096" w:history="1">
            <w:r w:rsidR="003E459D" w:rsidRPr="006D007E">
              <w:rPr>
                <w:rStyle w:val="Hyperlink"/>
                <w:noProof/>
              </w:rPr>
              <w:t>1.2.</w:t>
            </w:r>
            <w:r w:rsidR="003E459D">
              <w:rPr>
                <w:rFonts w:asciiTheme="minorHAnsi" w:eastAsiaTheme="minorEastAsia" w:hAnsiTheme="minorHAnsi"/>
                <w:noProof/>
                <w:sz w:val="22"/>
                <w:szCs w:val="22"/>
                <w:lang w:eastAsia="en-GB"/>
              </w:rPr>
              <w:tab/>
            </w:r>
            <w:r w:rsidR="003E459D" w:rsidRPr="006D007E">
              <w:rPr>
                <w:rStyle w:val="Hyperlink"/>
                <w:noProof/>
              </w:rPr>
              <w:t>Who is this for?</w:t>
            </w:r>
            <w:r w:rsidR="003E459D">
              <w:rPr>
                <w:noProof/>
                <w:webHidden/>
              </w:rPr>
              <w:tab/>
            </w:r>
            <w:r w:rsidR="003E459D">
              <w:rPr>
                <w:noProof/>
                <w:webHidden/>
              </w:rPr>
              <w:fldChar w:fldCharType="begin"/>
            </w:r>
            <w:r w:rsidR="003E459D">
              <w:rPr>
                <w:noProof/>
                <w:webHidden/>
              </w:rPr>
              <w:instrText xml:space="preserve"> PAGEREF _Toc137651096 \h </w:instrText>
            </w:r>
            <w:r w:rsidR="003E459D">
              <w:rPr>
                <w:noProof/>
                <w:webHidden/>
              </w:rPr>
            </w:r>
            <w:r w:rsidR="003E459D">
              <w:rPr>
                <w:noProof/>
                <w:webHidden/>
              </w:rPr>
              <w:fldChar w:fldCharType="separate"/>
            </w:r>
            <w:r w:rsidR="003E459D">
              <w:rPr>
                <w:noProof/>
                <w:webHidden/>
              </w:rPr>
              <w:t>3</w:t>
            </w:r>
            <w:r w:rsidR="003E459D">
              <w:rPr>
                <w:noProof/>
                <w:webHidden/>
              </w:rPr>
              <w:fldChar w:fldCharType="end"/>
            </w:r>
          </w:hyperlink>
        </w:p>
        <w:p w14:paraId="38126988" w14:textId="0B7134D6"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097" w:history="1">
            <w:r w:rsidR="003E459D" w:rsidRPr="006D007E">
              <w:rPr>
                <w:rStyle w:val="Hyperlink"/>
                <w:noProof/>
              </w:rPr>
              <w:t>1.3.</w:t>
            </w:r>
            <w:r w:rsidR="003E459D">
              <w:rPr>
                <w:rFonts w:asciiTheme="minorHAnsi" w:eastAsiaTheme="minorEastAsia" w:hAnsiTheme="minorHAnsi"/>
                <w:noProof/>
                <w:sz w:val="22"/>
                <w:szCs w:val="22"/>
                <w:lang w:eastAsia="en-GB"/>
              </w:rPr>
              <w:tab/>
            </w:r>
            <w:r w:rsidR="003E459D" w:rsidRPr="006D007E">
              <w:rPr>
                <w:rStyle w:val="Hyperlink"/>
                <w:noProof/>
              </w:rPr>
              <w:t>Key information</w:t>
            </w:r>
            <w:r w:rsidR="003E459D">
              <w:rPr>
                <w:noProof/>
                <w:webHidden/>
              </w:rPr>
              <w:tab/>
            </w:r>
            <w:r w:rsidR="003E459D">
              <w:rPr>
                <w:noProof/>
                <w:webHidden/>
              </w:rPr>
              <w:fldChar w:fldCharType="begin"/>
            </w:r>
            <w:r w:rsidR="003E459D">
              <w:rPr>
                <w:noProof/>
                <w:webHidden/>
              </w:rPr>
              <w:instrText xml:space="preserve"> PAGEREF _Toc137651097 \h </w:instrText>
            </w:r>
            <w:r w:rsidR="003E459D">
              <w:rPr>
                <w:noProof/>
                <w:webHidden/>
              </w:rPr>
            </w:r>
            <w:r w:rsidR="003E459D">
              <w:rPr>
                <w:noProof/>
                <w:webHidden/>
              </w:rPr>
              <w:fldChar w:fldCharType="separate"/>
            </w:r>
            <w:r w:rsidR="003E459D">
              <w:rPr>
                <w:noProof/>
                <w:webHidden/>
              </w:rPr>
              <w:t>3</w:t>
            </w:r>
            <w:r w:rsidR="003E459D">
              <w:rPr>
                <w:noProof/>
                <w:webHidden/>
              </w:rPr>
              <w:fldChar w:fldCharType="end"/>
            </w:r>
          </w:hyperlink>
        </w:p>
        <w:p w14:paraId="35674A24" w14:textId="66CB80B6" w:rsidR="003E459D" w:rsidRDefault="008D71FD">
          <w:pPr>
            <w:pStyle w:val="TOC2"/>
            <w:tabs>
              <w:tab w:val="left" w:pos="880"/>
              <w:tab w:val="right" w:leader="dot" w:pos="9016"/>
            </w:tabs>
            <w:rPr>
              <w:rFonts w:asciiTheme="minorHAnsi" w:eastAsiaTheme="minorEastAsia" w:hAnsiTheme="minorHAnsi"/>
              <w:noProof/>
              <w:sz w:val="22"/>
              <w:szCs w:val="22"/>
              <w:lang w:eastAsia="en-GB"/>
            </w:rPr>
          </w:pPr>
          <w:hyperlink w:anchor="_Toc137651098" w:history="1">
            <w:r w:rsidR="003E459D" w:rsidRPr="006D007E">
              <w:rPr>
                <w:rStyle w:val="Hyperlink"/>
                <w:noProof/>
              </w:rPr>
              <w:t>2.</w:t>
            </w:r>
            <w:r w:rsidR="003E459D">
              <w:rPr>
                <w:rFonts w:asciiTheme="minorHAnsi" w:eastAsiaTheme="minorEastAsia" w:hAnsiTheme="minorHAnsi"/>
                <w:noProof/>
                <w:sz w:val="22"/>
                <w:szCs w:val="22"/>
                <w:lang w:eastAsia="en-GB"/>
              </w:rPr>
              <w:tab/>
            </w:r>
            <w:r w:rsidR="003E459D" w:rsidRPr="006D007E">
              <w:rPr>
                <w:rStyle w:val="Hyperlink"/>
                <w:noProof/>
              </w:rPr>
              <w:t>Staff/Officer</w:t>
            </w:r>
            <w:r w:rsidR="003E459D">
              <w:rPr>
                <w:noProof/>
                <w:webHidden/>
              </w:rPr>
              <w:tab/>
            </w:r>
            <w:r w:rsidR="003E459D">
              <w:rPr>
                <w:noProof/>
                <w:webHidden/>
              </w:rPr>
              <w:fldChar w:fldCharType="begin"/>
            </w:r>
            <w:r w:rsidR="003E459D">
              <w:rPr>
                <w:noProof/>
                <w:webHidden/>
              </w:rPr>
              <w:instrText xml:space="preserve"> PAGEREF _Toc137651098 \h </w:instrText>
            </w:r>
            <w:r w:rsidR="003E459D">
              <w:rPr>
                <w:noProof/>
                <w:webHidden/>
              </w:rPr>
            </w:r>
            <w:r w:rsidR="003E459D">
              <w:rPr>
                <w:noProof/>
                <w:webHidden/>
              </w:rPr>
              <w:fldChar w:fldCharType="separate"/>
            </w:r>
            <w:r w:rsidR="003E459D">
              <w:rPr>
                <w:noProof/>
                <w:webHidden/>
              </w:rPr>
              <w:t>5</w:t>
            </w:r>
            <w:r w:rsidR="003E459D">
              <w:rPr>
                <w:noProof/>
                <w:webHidden/>
              </w:rPr>
              <w:fldChar w:fldCharType="end"/>
            </w:r>
          </w:hyperlink>
        </w:p>
        <w:p w14:paraId="569428B5" w14:textId="3EF49C77"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099" w:history="1">
            <w:r w:rsidR="003E459D" w:rsidRPr="006D007E">
              <w:rPr>
                <w:rStyle w:val="Hyperlink"/>
                <w:noProof/>
              </w:rPr>
              <w:t>2.1.</w:t>
            </w:r>
            <w:r w:rsidR="003E459D">
              <w:rPr>
                <w:rFonts w:asciiTheme="minorHAnsi" w:eastAsiaTheme="minorEastAsia" w:hAnsiTheme="minorHAnsi"/>
                <w:noProof/>
                <w:sz w:val="22"/>
                <w:szCs w:val="22"/>
                <w:lang w:eastAsia="en-GB"/>
              </w:rPr>
              <w:tab/>
            </w:r>
            <w:r w:rsidR="003E459D" w:rsidRPr="006D007E">
              <w:rPr>
                <w:rStyle w:val="Hyperlink"/>
                <w:noProof/>
              </w:rPr>
              <w:t>What you need to do:</w:t>
            </w:r>
            <w:r w:rsidR="003E459D">
              <w:rPr>
                <w:noProof/>
                <w:webHidden/>
              </w:rPr>
              <w:tab/>
            </w:r>
            <w:r w:rsidR="003E459D">
              <w:rPr>
                <w:noProof/>
                <w:webHidden/>
              </w:rPr>
              <w:fldChar w:fldCharType="begin"/>
            </w:r>
            <w:r w:rsidR="003E459D">
              <w:rPr>
                <w:noProof/>
                <w:webHidden/>
              </w:rPr>
              <w:instrText xml:space="preserve"> PAGEREF _Toc137651099 \h </w:instrText>
            </w:r>
            <w:r w:rsidR="003E459D">
              <w:rPr>
                <w:noProof/>
                <w:webHidden/>
              </w:rPr>
            </w:r>
            <w:r w:rsidR="003E459D">
              <w:rPr>
                <w:noProof/>
                <w:webHidden/>
              </w:rPr>
              <w:fldChar w:fldCharType="separate"/>
            </w:r>
            <w:r w:rsidR="003E459D">
              <w:rPr>
                <w:noProof/>
                <w:webHidden/>
              </w:rPr>
              <w:t>5</w:t>
            </w:r>
            <w:r w:rsidR="003E459D">
              <w:rPr>
                <w:noProof/>
                <w:webHidden/>
              </w:rPr>
              <w:fldChar w:fldCharType="end"/>
            </w:r>
          </w:hyperlink>
        </w:p>
        <w:p w14:paraId="0CEA9B99" w14:textId="04449F0C"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0" w:history="1">
            <w:r w:rsidR="003E459D" w:rsidRPr="006D007E">
              <w:rPr>
                <w:rStyle w:val="Hyperlink"/>
                <w:noProof/>
              </w:rPr>
              <w:t>2.2.</w:t>
            </w:r>
            <w:r w:rsidR="003E459D">
              <w:rPr>
                <w:rFonts w:asciiTheme="minorHAnsi" w:eastAsiaTheme="minorEastAsia" w:hAnsiTheme="minorHAnsi"/>
                <w:noProof/>
                <w:sz w:val="22"/>
                <w:szCs w:val="22"/>
                <w:lang w:eastAsia="en-GB"/>
              </w:rPr>
              <w:tab/>
            </w:r>
            <w:r w:rsidR="003E459D" w:rsidRPr="006D007E">
              <w:rPr>
                <w:rStyle w:val="Hyperlink"/>
                <w:noProof/>
              </w:rPr>
              <w:t>Notice periods</w:t>
            </w:r>
            <w:r w:rsidR="003E459D">
              <w:rPr>
                <w:noProof/>
                <w:webHidden/>
              </w:rPr>
              <w:tab/>
            </w:r>
            <w:r w:rsidR="003E459D">
              <w:rPr>
                <w:noProof/>
                <w:webHidden/>
              </w:rPr>
              <w:fldChar w:fldCharType="begin"/>
            </w:r>
            <w:r w:rsidR="003E459D">
              <w:rPr>
                <w:noProof/>
                <w:webHidden/>
              </w:rPr>
              <w:instrText xml:space="preserve"> PAGEREF _Toc137651100 \h </w:instrText>
            </w:r>
            <w:r w:rsidR="003E459D">
              <w:rPr>
                <w:noProof/>
                <w:webHidden/>
              </w:rPr>
            </w:r>
            <w:r w:rsidR="003E459D">
              <w:rPr>
                <w:noProof/>
                <w:webHidden/>
              </w:rPr>
              <w:fldChar w:fldCharType="separate"/>
            </w:r>
            <w:r w:rsidR="003E459D">
              <w:rPr>
                <w:noProof/>
                <w:webHidden/>
              </w:rPr>
              <w:t>6</w:t>
            </w:r>
            <w:r w:rsidR="003E459D">
              <w:rPr>
                <w:noProof/>
                <w:webHidden/>
              </w:rPr>
              <w:fldChar w:fldCharType="end"/>
            </w:r>
          </w:hyperlink>
        </w:p>
        <w:p w14:paraId="1F5FE904" w14:textId="3EBAA318"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1" w:history="1">
            <w:r w:rsidR="003E459D" w:rsidRPr="006D007E">
              <w:rPr>
                <w:rStyle w:val="Hyperlink"/>
                <w:noProof/>
              </w:rPr>
              <w:t>2.3.</w:t>
            </w:r>
            <w:r w:rsidR="003E459D">
              <w:rPr>
                <w:rFonts w:asciiTheme="minorHAnsi" w:eastAsiaTheme="minorEastAsia" w:hAnsiTheme="minorHAnsi"/>
                <w:noProof/>
                <w:sz w:val="22"/>
                <w:szCs w:val="22"/>
                <w:lang w:eastAsia="en-GB"/>
              </w:rPr>
              <w:tab/>
            </w:r>
            <w:r w:rsidR="003E459D" w:rsidRPr="006D007E">
              <w:rPr>
                <w:rStyle w:val="Hyperlink"/>
                <w:noProof/>
              </w:rPr>
              <w:t>Withdrawing your resignation</w:t>
            </w:r>
            <w:r w:rsidR="003E459D">
              <w:rPr>
                <w:noProof/>
                <w:webHidden/>
              </w:rPr>
              <w:tab/>
            </w:r>
            <w:r w:rsidR="003E459D">
              <w:rPr>
                <w:noProof/>
                <w:webHidden/>
              </w:rPr>
              <w:fldChar w:fldCharType="begin"/>
            </w:r>
            <w:r w:rsidR="003E459D">
              <w:rPr>
                <w:noProof/>
                <w:webHidden/>
              </w:rPr>
              <w:instrText xml:space="preserve"> PAGEREF _Toc137651101 \h </w:instrText>
            </w:r>
            <w:r w:rsidR="003E459D">
              <w:rPr>
                <w:noProof/>
                <w:webHidden/>
              </w:rPr>
            </w:r>
            <w:r w:rsidR="003E459D">
              <w:rPr>
                <w:noProof/>
                <w:webHidden/>
              </w:rPr>
              <w:fldChar w:fldCharType="separate"/>
            </w:r>
            <w:r w:rsidR="003E459D">
              <w:rPr>
                <w:noProof/>
                <w:webHidden/>
              </w:rPr>
              <w:t>6</w:t>
            </w:r>
            <w:r w:rsidR="003E459D">
              <w:rPr>
                <w:noProof/>
                <w:webHidden/>
              </w:rPr>
              <w:fldChar w:fldCharType="end"/>
            </w:r>
          </w:hyperlink>
        </w:p>
        <w:p w14:paraId="3D7B0D47" w14:textId="4E46AB0B"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2" w:history="1">
            <w:r w:rsidR="003E459D" w:rsidRPr="006D007E">
              <w:rPr>
                <w:rStyle w:val="Hyperlink"/>
                <w:noProof/>
              </w:rPr>
              <w:t>2.4.</w:t>
            </w:r>
            <w:r w:rsidR="003E459D">
              <w:rPr>
                <w:rFonts w:asciiTheme="minorHAnsi" w:eastAsiaTheme="minorEastAsia" w:hAnsiTheme="minorHAnsi"/>
                <w:noProof/>
                <w:sz w:val="22"/>
                <w:szCs w:val="22"/>
                <w:lang w:eastAsia="en-GB"/>
              </w:rPr>
              <w:tab/>
            </w:r>
            <w:r w:rsidR="003E459D" w:rsidRPr="006D007E">
              <w:rPr>
                <w:rStyle w:val="Hyperlink"/>
                <w:noProof/>
              </w:rPr>
              <w:t>Uniform and equipment</w:t>
            </w:r>
            <w:r w:rsidR="003E459D">
              <w:rPr>
                <w:noProof/>
                <w:webHidden/>
              </w:rPr>
              <w:tab/>
            </w:r>
            <w:r w:rsidR="003E459D">
              <w:rPr>
                <w:noProof/>
                <w:webHidden/>
              </w:rPr>
              <w:fldChar w:fldCharType="begin"/>
            </w:r>
            <w:r w:rsidR="003E459D">
              <w:rPr>
                <w:noProof/>
                <w:webHidden/>
              </w:rPr>
              <w:instrText xml:space="preserve"> PAGEREF _Toc137651102 \h </w:instrText>
            </w:r>
            <w:r w:rsidR="003E459D">
              <w:rPr>
                <w:noProof/>
                <w:webHidden/>
              </w:rPr>
            </w:r>
            <w:r w:rsidR="003E459D">
              <w:rPr>
                <w:noProof/>
                <w:webHidden/>
              </w:rPr>
              <w:fldChar w:fldCharType="separate"/>
            </w:r>
            <w:r w:rsidR="003E459D">
              <w:rPr>
                <w:noProof/>
                <w:webHidden/>
              </w:rPr>
              <w:t>6</w:t>
            </w:r>
            <w:r w:rsidR="003E459D">
              <w:rPr>
                <w:noProof/>
                <w:webHidden/>
              </w:rPr>
              <w:fldChar w:fldCharType="end"/>
            </w:r>
          </w:hyperlink>
        </w:p>
        <w:p w14:paraId="34B939EE" w14:textId="67F9354C"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3" w:history="1">
            <w:r w:rsidR="003E459D" w:rsidRPr="006D007E">
              <w:rPr>
                <w:rStyle w:val="Hyperlink"/>
                <w:noProof/>
              </w:rPr>
              <w:t>2.5.</w:t>
            </w:r>
            <w:r w:rsidR="003E459D">
              <w:rPr>
                <w:rFonts w:asciiTheme="minorHAnsi" w:eastAsiaTheme="minorEastAsia" w:hAnsiTheme="minorHAnsi"/>
                <w:noProof/>
                <w:sz w:val="22"/>
                <w:szCs w:val="22"/>
                <w:lang w:eastAsia="en-GB"/>
              </w:rPr>
              <w:tab/>
            </w:r>
            <w:r w:rsidR="003E459D" w:rsidRPr="006D007E">
              <w:rPr>
                <w:rStyle w:val="Hyperlink"/>
                <w:noProof/>
              </w:rPr>
              <w:t>Exit interview/survey</w:t>
            </w:r>
            <w:r w:rsidR="003E459D">
              <w:rPr>
                <w:noProof/>
                <w:webHidden/>
              </w:rPr>
              <w:tab/>
            </w:r>
            <w:r w:rsidR="003E459D">
              <w:rPr>
                <w:noProof/>
                <w:webHidden/>
              </w:rPr>
              <w:fldChar w:fldCharType="begin"/>
            </w:r>
            <w:r w:rsidR="003E459D">
              <w:rPr>
                <w:noProof/>
                <w:webHidden/>
              </w:rPr>
              <w:instrText xml:space="preserve"> PAGEREF _Toc137651103 \h </w:instrText>
            </w:r>
            <w:r w:rsidR="003E459D">
              <w:rPr>
                <w:noProof/>
                <w:webHidden/>
              </w:rPr>
            </w:r>
            <w:r w:rsidR="003E459D">
              <w:rPr>
                <w:noProof/>
                <w:webHidden/>
              </w:rPr>
              <w:fldChar w:fldCharType="separate"/>
            </w:r>
            <w:r w:rsidR="003E459D">
              <w:rPr>
                <w:noProof/>
                <w:webHidden/>
              </w:rPr>
              <w:t>7</w:t>
            </w:r>
            <w:r w:rsidR="003E459D">
              <w:rPr>
                <w:noProof/>
                <w:webHidden/>
              </w:rPr>
              <w:fldChar w:fldCharType="end"/>
            </w:r>
          </w:hyperlink>
        </w:p>
        <w:p w14:paraId="40F030D5" w14:textId="4408F528"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4" w:history="1">
            <w:r w:rsidR="003E459D" w:rsidRPr="006D007E">
              <w:rPr>
                <w:rStyle w:val="Hyperlink"/>
                <w:noProof/>
              </w:rPr>
              <w:t>2.6.</w:t>
            </w:r>
            <w:r w:rsidR="003E459D">
              <w:rPr>
                <w:rFonts w:asciiTheme="minorHAnsi" w:eastAsiaTheme="minorEastAsia" w:hAnsiTheme="minorHAnsi"/>
                <w:noProof/>
                <w:sz w:val="22"/>
                <w:szCs w:val="22"/>
                <w:lang w:eastAsia="en-GB"/>
              </w:rPr>
              <w:tab/>
            </w:r>
            <w:r w:rsidR="003E459D" w:rsidRPr="006D007E">
              <w:rPr>
                <w:rStyle w:val="Hyperlink"/>
                <w:noProof/>
              </w:rPr>
              <w:t>Officer retiral</w:t>
            </w:r>
            <w:r w:rsidR="003E459D">
              <w:rPr>
                <w:noProof/>
                <w:webHidden/>
              </w:rPr>
              <w:tab/>
            </w:r>
            <w:r w:rsidR="003E459D">
              <w:rPr>
                <w:noProof/>
                <w:webHidden/>
              </w:rPr>
              <w:fldChar w:fldCharType="begin"/>
            </w:r>
            <w:r w:rsidR="003E459D">
              <w:rPr>
                <w:noProof/>
                <w:webHidden/>
              </w:rPr>
              <w:instrText xml:space="preserve"> PAGEREF _Toc137651104 \h </w:instrText>
            </w:r>
            <w:r w:rsidR="003E459D">
              <w:rPr>
                <w:noProof/>
                <w:webHidden/>
              </w:rPr>
            </w:r>
            <w:r w:rsidR="003E459D">
              <w:rPr>
                <w:noProof/>
                <w:webHidden/>
              </w:rPr>
              <w:fldChar w:fldCharType="separate"/>
            </w:r>
            <w:r w:rsidR="003E459D">
              <w:rPr>
                <w:noProof/>
                <w:webHidden/>
              </w:rPr>
              <w:t>7</w:t>
            </w:r>
            <w:r w:rsidR="003E459D">
              <w:rPr>
                <w:noProof/>
                <w:webHidden/>
              </w:rPr>
              <w:fldChar w:fldCharType="end"/>
            </w:r>
          </w:hyperlink>
        </w:p>
        <w:p w14:paraId="598E3F42" w14:textId="0A069357"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5" w:history="1">
            <w:r w:rsidR="003E459D" w:rsidRPr="006D007E">
              <w:rPr>
                <w:rStyle w:val="Hyperlink"/>
                <w:noProof/>
              </w:rPr>
              <w:t>2.7.</w:t>
            </w:r>
            <w:r w:rsidR="003E459D">
              <w:rPr>
                <w:rFonts w:asciiTheme="minorHAnsi" w:eastAsiaTheme="minorEastAsia" w:hAnsiTheme="minorHAnsi"/>
                <w:noProof/>
                <w:sz w:val="22"/>
                <w:szCs w:val="22"/>
                <w:lang w:eastAsia="en-GB"/>
              </w:rPr>
              <w:tab/>
            </w:r>
            <w:r w:rsidR="003E459D" w:rsidRPr="006D007E">
              <w:rPr>
                <w:rStyle w:val="Hyperlink"/>
                <w:noProof/>
              </w:rPr>
              <w:t>Staff retiral</w:t>
            </w:r>
            <w:r w:rsidR="003E459D">
              <w:rPr>
                <w:noProof/>
                <w:webHidden/>
              </w:rPr>
              <w:tab/>
            </w:r>
            <w:r w:rsidR="003E459D">
              <w:rPr>
                <w:noProof/>
                <w:webHidden/>
              </w:rPr>
              <w:fldChar w:fldCharType="begin"/>
            </w:r>
            <w:r w:rsidR="003E459D">
              <w:rPr>
                <w:noProof/>
                <w:webHidden/>
              </w:rPr>
              <w:instrText xml:space="preserve"> PAGEREF _Toc137651105 \h </w:instrText>
            </w:r>
            <w:r w:rsidR="003E459D">
              <w:rPr>
                <w:noProof/>
                <w:webHidden/>
              </w:rPr>
            </w:r>
            <w:r w:rsidR="003E459D">
              <w:rPr>
                <w:noProof/>
                <w:webHidden/>
              </w:rPr>
              <w:fldChar w:fldCharType="separate"/>
            </w:r>
            <w:r w:rsidR="003E459D">
              <w:rPr>
                <w:noProof/>
                <w:webHidden/>
              </w:rPr>
              <w:t>8</w:t>
            </w:r>
            <w:r w:rsidR="003E459D">
              <w:rPr>
                <w:noProof/>
                <w:webHidden/>
              </w:rPr>
              <w:fldChar w:fldCharType="end"/>
            </w:r>
          </w:hyperlink>
        </w:p>
        <w:p w14:paraId="411DA5B0" w14:textId="4C7324B1"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6" w:history="1">
            <w:r w:rsidR="003E459D" w:rsidRPr="006D007E">
              <w:rPr>
                <w:rStyle w:val="Hyperlink"/>
                <w:noProof/>
              </w:rPr>
              <w:t>2.8.</w:t>
            </w:r>
            <w:r w:rsidR="003E459D">
              <w:rPr>
                <w:rFonts w:asciiTheme="minorHAnsi" w:eastAsiaTheme="minorEastAsia" w:hAnsiTheme="minorHAnsi"/>
                <w:noProof/>
                <w:sz w:val="22"/>
                <w:szCs w:val="22"/>
                <w:lang w:eastAsia="en-GB"/>
              </w:rPr>
              <w:tab/>
            </w:r>
            <w:r w:rsidR="003E459D" w:rsidRPr="006D007E">
              <w:rPr>
                <w:rStyle w:val="Hyperlink"/>
                <w:noProof/>
              </w:rPr>
              <w:t>Flexible retirement (Staff only)</w:t>
            </w:r>
            <w:r w:rsidR="003E459D">
              <w:rPr>
                <w:noProof/>
                <w:webHidden/>
              </w:rPr>
              <w:tab/>
            </w:r>
            <w:r w:rsidR="003E459D">
              <w:rPr>
                <w:noProof/>
                <w:webHidden/>
              </w:rPr>
              <w:fldChar w:fldCharType="begin"/>
            </w:r>
            <w:r w:rsidR="003E459D">
              <w:rPr>
                <w:noProof/>
                <w:webHidden/>
              </w:rPr>
              <w:instrText xml:space="preserve"> PAGEREF _Toc137651106 \h </w:instrText>
            </w:r>
            <w:r w:rsidR="003E459D">
              <w:rPr>
                <w:noProof/>
                <w:webHidden/>
              </w:rPr>
            </w:r>
            <w:r w:rsidR="003E459D">
              <w:rPr>
                <w:noProof/>
                <w:webHidden/>
              </w:rPr>
              <w:fldChar w:fldCharType="separate"/>
            </w:r>
            <w:r w:rsidR="003E459D">
              <w:rPr>
                <w:noProof/>
                <w:webHidden/>
              </w:rPr>
              <w:t>8</w:t>
            </w:r>
            <w:r w:rsidR="003E459D">
              <w:rPr>
                <w:noProof/>
                <w:webHidden/>
              </w:rPr>
              <w:fldChar w:fldCharType="end"/>
            </w:r>
          </w:hyperlink>
        </w:p>
        <w:p w14:paraId="296A1B31" w14:textId="0C32FFBB"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7" w:history="1">
            <w:r w:rsidR="003E459D" w:rsidRPr="006D007E">
              <w:rPr>
                <w:rStyle w:val="Hyperlink"/>
                <w:noProof/>
              </w:rPr>
              <w:t>2.9.</w:t>
            </w:r>
            <w:r w:rsidR="003E459D">
              <w:rPr>
                <w:rFonts w:asciiTheme="minorHAnsi" w:eastAsiaTheme="minorEastAsia" w:hAnsiTheme="minorHAnsi"/>
                <w:noProof/>
                <w:sz w:val="22"/>
                <w:szCs w:val="22"/>
                <w:lang w:eastAsia="en-GB"/>
              </w:rPr>
              <w:tab/>
            </w:r>
            <w:r w:rsidR="003E459D" w:rsidRPr="006D007E">
              <w:rPr>
                <w:rStyle w:val="Hyperlink"/>
                <w:noProof/>
              </w:rPr>
              <w:t>Rule of 85 (Staff only)</w:t>
            </w:r>
            <w:r w:rsidR="003E459D">
              <w:rPr>
                <w:noProof/>
                <w:webHidden/>
              </w:rPr>
              <w:tab/>
            </w:r>
            <w:r w:rsidR="003E459D">
              <w:rPr>
                <w:noProof/>
                <w:webHidden/>
              </w:rPr>
              <w:fldChar w:fldCharType="begin"/>
            </w:r>
            <w:r w:rsidR="003E459D">
              <w:rPr>
                <w:noProof/>
                <w:webHidden/>
              </w:rPr>
              <w:instrText xml:space="preserve"> PAGEREF _Toc137651107 \h </w:instrText>
            </w:r>
            <w:r w:rsidR="003E459D">
              <w:rPr>
                <w:noProof/>
                <w:webHidden/>
              </w:rPr>
            </w:r>
            <w:r w:rsidR="003E459D">
              <w:rPr>
                <w:noProof/>
                <w:webHidden/>
              </w:rPr>
              <w:fldChar w:fldCharType="separate"/>
            </w:r>
            <w:r w:rsidR="003E459D">
              <w:rPr>
                <w:noProof/>
                <w:webHidden/>
              </w:rPr>
              <w:t>9</w:t>
            </w:r>
            <w:r w:rsidR="003E459D">
              <w:rPr>
                <w:noProof/>
                <w:webHidden/>
              </w:rPr>
              <w:fldChar w:fldCharType="end"/>
            </w:r>
          </w:hyperlink>
        </w:p>
        <w:p w14:paraId="66A200DD" w14:textId="0C787C3E"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8" w:history="1">
            <w:r w:rsidR="003E459D" w:rsidRPr="006D007E">
              <w:rPr>
                <w:rStyle w:val="Hyperlink"/>
                <w:noProof/>
              </w:rPr>
              <w:t>2.10.</w:t>
            </w:r>
            <w:r w:rsidR="003E459D">
              <w:rPr>
                <w:rFonts w:asciiTheme="minorHAnsi" w:eastAsiaTheme="minorEastAsia" w:hAnsiTheme="minorHAnsi"/>
                <w:noProof/>
                <w:sz w:val="22"/>
                <w:szCs w:val="22"/>
                <w:lang w:eastAsia="en-GB"/>
              </w:rPr>
              <w:tab/>
            </w:r>
            <w:r w:rsidR="003E459D" w:rsidRPr="006D007E">
              <w:rPr>
                <w:rStyle w:val="Hyperlink"/>
                <w:noProof/>
              </w:rPr>
              <w:t>Ill health retirement</w:t>
            </w:r>
            <w:r w:rsidR="003E459D">
              <w:rPr>
                <w:noProof/>
                <w:webHidden/>
              </w:rPr>
              <w:tab/>
            </w:r>
            <w:r w:rsidR="003E459D">
              <w:rPr>
                <w:noProof/>
                <w:webHidden/>
              </w:rPr>
              <w:fldChar w:fldCharType="begin"/>
            </w:r>
            <w:r w:rsidR="003E459D">
              <w:rPr>
                <w:noProof/>
                <w:webHidden/>
              </w:rPr>
              <w:instrText xml:space="preserve"> PAGEREF _Toc137651108 \h </w:instrText>
            </w:r>
            <w:r w:rsidR="003E459D">
              <w:rPr>
                <w:noProof/>
                <w:webHidden/>
              </w:rPr>
            </w:r>
            <w:r w:rsidR="003E459D">
              <w:rPr>
                <w:noProof/>
                <w:webHidden/>
              </w:rPr>
              <w:fldChar w:fldCharType="separate"/>
            </w:r>
            <w:r w:rsidR="003E459D">
              <w:rPr>
                <w:noProof/>
                <w:webHidden/>
              </w:rPr>
              <w:t>9</w:t>
            </w:r>
            <w:r w:rsidR="003E459D">
              <w:rPr>
                <w:noProof/>
                <w:webHidden/>
              </w:rPr>
              <w:fldChar w:fldCharType="end"/>
            </w:r>
          </w:hyperlink>
        </w:p>
        <w:p w14:paraId="700804DC" w14:textId="13589570"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09" w:history="1">
            <w:r w:rsidR="003E459D" w:rsidRPr="006D007E">
              <w:rPr>
                <w:rStyle w:val="Hyperlink"/>
                <w:noProof/>
              </w:rPr>
              <w:t>2.11.</w:t>
            </w:r>
            <w:r w:rsidR="003E459D">
              <w:rPr>
                <w:rFonts w:asciiTheme="minorHAnsi" w:eastAsiaTheme="minorEastAsia" w:hAnsiTheme="minorHAnsi"/>
                <w:noProof/>
                <w:sz w:val="22"/>
                <w:szCs w:val="22"/>
                <w:lang w:eastAsia="en-GB"/>
              </w:rPr>
              <w:tab/>
            </w:r>
            <w:r w:rsidR="003E459D" w:rsidRPr="006D007E">
              <w:rPr>
                <w:rStyle w:val="Hyperlink"/>
                <w:noProof/>
              </w:rPr>
              <w:t>References</w:t>
            </w:r>
            <w:r w:rsidR="003E459D">
              <w:rPr>
                <w:noProof/>
                <w:webHidden/>
              </w:rPr>
              <w:tab/>
            </w:r>
            <w:r w:rsidR="003E459D">
              <w:rPr>
                <w:noProof/>
                <w:webHidden/>
              </w:rPr>
              <w:fldChar w:fldCharType="begin"/>
            </w:r>
            <w:r w:rsidR="003E459D">
              <w:rPr>
                <w:noProof/>
                <w:webHidden/>
              </w:rPr>
              <w:instrText xml:space="preserve"> PAGEREF _Toc137651109 \h </w:instrText>
            </w:r>
            <w:r w:rsidR="003E459D">
              <w:rPr>
                <w:noProof/>
                <w:webHidden/>
              </w:rPr>
            </w:r>
            <w:r w:rsidR="003E459D">
              <w:rPr>
                <w:noProof/>
                <w:webHidden/>
              </w:rPr>
              <w:fldChar w:fldCharType="separate"/>
            </w:r>
            <w:r w:rsidR="003E459D">
              <w:rPr>
                <w:noProof/>
                <w:webHidden/>
              </w:rPr>
              <w:t>9</w:t>
            </w:r>
            <w:r w:rsidR="003E459D">
              <w:rPr>
                <w:noProof/>
                <w:webHidden/>
              </w:rPr>
              <w:fldChar w:fldCharType="end"/>
            </w:r>
          </w:hyperlink>
        </w:p>
        <w:p w14:paraId="7EAF5F4F" w14:textId="3A12F282"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10" w:history="1">
            <w:r w:rsidR="003E459D" w:rsidRPr="006D007E">
              <w:rPr>
                <w:rStyle w:val="Hyperlink"/>
                <w:noProof/>
              </w:rPr>
              <w:t>2.12.</w:t>
            </w:r>
            <w:r w:rsidR="003E459D">
              <w:rPr>
                <w:rFonts w:asciiTheme="minorHAnsi" w:eastAsiaTheme="minorEastAsia" w:hAnsiTheme="minorHAnsi"/>
                <w:noProof/>
                <w:sz w:val="22"/>
                <w:szCs w:val="22"/>
                <w:lang w:eastAsia="en-GB"/>
              </w:rPr>
              <w:tab/>
            </w:r>
            <w:r w:rsidR="003E459D" w:rsidRPr="006D007E">
              <w:rPr>
                <w:rStyle w:val="Hyperlink"/>
                <w:noProof/>
              </w:rPr>
              <w:t>Attending court after leaving</w:t>
            </w:r>
            <w:r w:rsidR="003E459D">
              <w:rPr>
                <w:noProof/>
                <w:webHidden/>
              </w:rPr>
              <w:tab/>
            </w:r>
            <w:r w:rsidR="003E459D">
              <w:rPr>
                <w:noProof/>
                <w:webHidden/>
              </w:rPr>
              <w:fldChar w:fldCharType="begin"/>
            </w:r>
            <w:r w:rsidR="003E459D">
              <w:rPr>
                <w:noProof/>
                <w:webHidden/>
              </w:rPr>
              <w:instrText xml:space="preserve"> PAGEREF _Toc137651110 \h </w:instrText>
            </w:r>
            <w:r w:rsidR="003E459D">
              <w:rPr>
                <w:noProof/>
                <w:webHidden/>
              </w:rPr>
            </w:r>
            <w:r w:rsidR="003E459D">
              <w:rPr>
                <w:noProof/>
                <w:webHidden/>
              </w:rPr>
              <w:fldChar w:fldCharType="separate"/>
            </w:r>
            <w:r w:rsidR="003E459D">
              <w:rPr>
                <w:noProof/>
                <w:webHidden/>
              </w:rPr>
              <w:t>10</w:t>
            </w:r>
            <w:r w:rsidR="003E459D">
              <w:rPr>
                <w:noProof/>
                <w:webHidden/>
              </w:rPr>
              <w:fldChar w:fldCharType="end"/>
            </w:r>
          </w:hyperlink>
        </w:p>
        <w:p w14:paraId="28E84F6A" w14:textId="5A447576" w:rsidR="003E459D" w:rsidRDefault="008D71FD">
          <w:pPr>
            <w:pStyle w:val="TOC2"/>
            <w:tabs>
              <w:tab w:val="left" w:pos="880"/>
              <w:tab w:val="right" w:leader="dot" w:pos="9016"/>
            </w:tabs>
            <w:rPr>
              <w:rFonts w:asciiTheme="minorHAnsi" w:eastAsiaTheme="minorEastAsia" w:hAnsiTheme="minorHAnsi"/>
              <w:noProof/>
              <w:sz w:val="22"/>
              <w:szCs w:val="22"/>
              <w:lang w:eastAsia="en-GB"/>
            </w:rPr>
          </w:pPr>
          <w:hyperlink w:anchor="_Toc137651111" w:history="1">
            <w:r w:rsidR="003E459D" w:rsidRPr="006D007E">
              <w:rPr>
                <w:rStyle w:val="Hyperlink"/>
                <w:noProof/>
              </w:rPr>
              <w:t>3.</w:t>
            </w:r>
            <w:r w:rsidR="003E459D">
              <w:rPr>
                <w:rFonts w:asciiTheme="minorHAnsi" w:eastAsiaTheme="minorEastAsia" w:hAnsiTheme="minorHAnsi"/>
                <w:noProof/>
                <w:sz w:val="22"/>
                <w:szCs w:val="22"/>
                <w:lang w:eastAsia="en-GB"/>
              </w:rPr>
              <w:tab/>
            </w:r>
            <w:r w:rsidR="003E459D" w:rsidRPr="006D007E">
              <w:rPr>
                <w:rStyle w:val="Hyperlink"/>
                <w:noProof/>
              </w:rPr>
              <w:t>Manager</w:t>
            </w:r>
            <w:r w:rsidR="003E459D">
              <w:rPr>
                <w:noProof/>
                <w:webHidden/>
              </w:rPr>
              <w:tab/>
            </w:r>
            <w:r w:rsidR="003E459D">
              <w:rPr>
                <w:noProof/>
                <w:webHidden/>
              </w:rPr>
              <w:fldChar w:fldCharType="begin"/>
            </w:r>
            <w:r w:rsidR="003E459D">
              <w:rPr>
                <w:noProof/>
                <w:webHidden/>
              </w:rPr>
              <w:instrText xml:space="preserve"> PAGEREF _Toc137651111 \h </w:instrText>
            </w:r>
            <w:r w:rsidR="003E459D">
              <w:rPr>
                <w:noProof/>
                <w:webHidden/>
              </w:rPr>
            </w:r>
            <w:r w:rsidR="003E459D">
              <w:rPr>
                <w:noProof/>
                <w:webHidden/>
              </w:rPr>
              <w:fldChar w:fldCharType="separate"/>
            </w:r>
            <w:r w:rsidR="003E459D">
              <w:rPr>
                <w:noProof/>
                <w:webHidden/>
              </w:rPr>
              <w:t>11</w:t>
            </w:r>
            <w:r w:rsidR="003E459D">
              <w:rPr>
                <w:noProof/>
                <w:webHidden/>
              </w:rPr>
              <w:fldChar w:fldCharType="end"/>
            </w:r>
          </w:hyperlink>
        </w:p>
        <w:p w14:paraId="733B56C4" w14:textId="53B81C1D"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12" w:history="1">
            <w:r w:rsidR="003E459D" w:rsidRPr="006D007E">
              <w:rPr>
                <w:rStyle w:val="Hyperlink"/>
                <w:noProof/>
              </w:rPr>
              <w:t>3.1.</w:t>
            </w:r>
            <w:r w:rsidR="003E459D">
              <w:rPr>
                <w:rFonts w:asciiTheme="minorHAnsi" w:eastAsiaTheme="minorEastAsia" w:hAnsiTheme="minorHAnsi"/>
                <w:noProof/>
                <w:sz w:val="22"/>
                <w:szCs w:val="22"/>
                <w:lang w:eastAsia="en-GB"/>
              </w:rPr>
              <w:tab/>
            </w:r>
            <w:r w:rsidR="003E459D" w:rsidRPr="006D007E">
              <w:rPr>
                <w:rStyle w:val="Hyperlink"/>
                <w:noProof/>
              </w:rPr>
              <w:t>What you need to do:</w:t>
            </w:r>
            <w:r w:rsidR="003E459D">
              <w:rPr>
                <w:noProof/>
                <w:webHidden/>
              </w:rPr>
              <w:tab/>
            </w:r>
            <w:r w:rsidR="003E459D">
              <w:rPr>
                <w:noProof/>
                <w:webHidden/>
              </w:rPr>
              <w:fldChar w:fldCharType="begin"/>
            </w:r>
            <w:r w:rsidR="003E459D">
              <w:rPr>
                <w:noProof/>
                <w:webHidden/>
              </w:rPr>
              <w:instrText xml:space="preserve"> PAGEREF _Toc137651112 \h </w:instrText>
            </w:r>
            <w:r w:rsidR="003E459D">
              <w:rPr>
                <w:noProof/>
                <w:webHidden/>
              </w:rPr>
            </w:r>
            <w:r w:rsidR="003E459D">
              <w:rPr>
                <w:noProof/>
                <w:webHidden/>
              </w:rPr>
              <w:fldChar w:fldCharType="separate"/>
            </w:r>
            <w:r w:rsidR="003E459D">
              <w:rPr>
                <w:noProof/>
                <w:webHidden/>
              </w:rPr>
              <w:t>11</w:t>
            </w:r>
            <w:r w:rsidR="003E459D">
              <w:rPr>
                <w:noProof/>
                <w:webHidden/>
              </w:rPr>
              <w:fldChar w:fldCharType="end"/>
            </w:r>
          </w:hyperlink>
        </w:p>
        <w:p w14:paraId="467CA56C" w14:textId="40FCF4D3"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13" w:history="1">
            <w:r w:rsidR="003E459D" w:rsidRPr="006D007E">
              <w:rPr>
                <w:rStyle w:val="Hyperlink"/>
                <w:noProof/>
              </w:rPr>
              <w:t>3.2.</w:t>
            </w:r>
            <w:r w:rsidR="003E459D">
              <w:rPr>
                <w:rFonts w:asciiTheme="minorHAnsi" w:eastAsiaTheme="minorEastAsia" w:hAnsiTheme="minorHAnsi"/>
                <w:noProof/>
                <w:sz w:val="22"/>
                <w:szCs w:val="22"/>
                <w:lang w:eastAsia="en-GB"/>
              </w:rPr>
              <w:tab/>
            </w:r>
            <w:r w:rsidR="003E459D" w:rsidRPr="006D007E">
              <w:rPr>
                <w:rStyle w:val="Hyperlink"/>
                <w:noProof/>
              </w:rPr>
              <w:t>Notice period</w:t>
            </w:r>
            <w:r w:rsidR="003E459D">
              <w:rPr>
                <w:noProof/>
                <w:webHidden/>
              </w:rPr>
              <w:tab/>
            </w:r>
            <w:r w:rsidR="003E459D">
              <w:rPr>
                <w:noProof/>
                <w:webHidden/>
              </w:rPr>
              <w:fldChar w:fldCharType="begin"/>
            </w:r>
            <w:r w:rsidR="003E459D">
              <w:rPr>
                <w:noProof/>
                <w:webHidden/>
              </w:rPr>
              <w:instrText xml:space="preserve"> PAGEREF _Toc137651113 \h </w:instrText>
            </w:r>
            <w:r w:rsidR="003E459D">
              <w:rPr>
                <w:noProof/>
                <w:webHidden/>
              </w:rPr>
            </w:r>
            <w:r w:rsidR="003E459D">
              <w:rPr>
                <w:noProof/>
                <w:webHidden/>
              </w:rPr>
              <w:fldChar w:fldCharType="separate"/>
            </w:r>
            <w:r w:rsidR="003E459D">
              <w:rPr>
                <w:noProof/>
                <w:webHidden/>
              </w:rPr>
              <w:t>11</w:t>
            </w:r>
            <w:r w:rsidR="003E459D">
              <w:rPr>
                <w:noProof/>
                <w:webHidden/>
              </w:rPr>
              <w:fldChar w:fldCharType="end"/>
            </w:r>
          </w:hyperlink>
        </w:p>
        <w:p w14:paraId="36E302C4" w14:textId="7450C5A3"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14" w:history="1">
            <w:r w:rsidR="003E459D" w:rsidRPr="006D007E">
              <w:rPr>
                <w:rStyle w:val="Hyperlink"/>
                <w:noProof/>
              </w:rPr>
              <w:t>3.3.</w:t>
            </w:r>
            <w:r w:rsidR="003E459D">
              <w:rPr>
                <w:rFonts w:asciiTheme="minorHAnsi" w:eastAsiaTheme="minorEastAsia" w:hAnsiTheme="minorHAnsi"/>
                <w:noProof/>
                <w:sz w:val="22"/>
                <w:szCs w:val="22"/>
                <w:lang w:eastAsia="en-GB"/>
              </w:rPr>
              <w:tab/>
            </w:r>
            <w:r w:rsidR="003E459D" w:rsidRPr="006D007E">
              <w:rPr>
                <w:rStyle w:val="Hyperlink"/>
                <w:noProof/>
              </w:rPr>
              <w:t>Uniform and equipment</w:t>
            </w:r>
            <w:r w:rsidR="003E459D">
              <w:rPr>
                <w:noProof/>
                <w:webHidden/>
              </w:rPr>
              <w:tab/>
            </w:r>
            <w:r w:rsidR="003E459D">
              <w:rPr>
                <w:noProof/>
                <w:webHidden/>
              </w:rPr>
              <w:fldChar w:fldCharType="begin"/>
            </w:r>
            <w:r w:rsidR="003E459D">
              <w:rPr>
                <w:noProof/>
                <w:webHidden/>
              </w:rPr>
              <w:instrText xml:space="preserve"> PAGEREF _Toc137651114 \h </w:instrText>
            </w:r>
            <w:r w:rsidR="003E459D">
              <w:rPr>
                <w:noProof/>
                <w:webHidden/>
              </w:rPr>
            </w:r>
            <w:r w:rsidR="003E459D">
              <w:rPr>
                <w:noProof/>
                <w:webHidden/>
              </w:rPr>
              <w:fldChar w:fldCharType="separate"/>
            </w:r>
            <w:r w:rsidR="003E459D">
              <w:rPr>
                <w:noProof/>
                <w:webHidden/>
              </w:rPr>
              <w:t>12</w:t>
            </w:r>
            <w:r w:rsidR="003E459D">
              <w:rPr>
                <w:noProof/>
                <w:webHidden/>
              </w:rPr>
              <w:fldChar w:fldCharType="end"/>
            </w:r>
          </w:hyperlink>
        </w:p>
        <w:p w14:paraId="3DEDED93" w14:textId="0D8CA3CB"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15" w:history="1">
            <w:r w:rsidR="003E459D" w:rsidRPr="006D007E">
              <w:rPr>
                <w:rStyle w:val="Hyperlink"/>
                <w:noProof/>
              </w:rPr>
              <w:t>3.4.</w:t>
            </w:r>
            <w:r w:rsidR="003E459D">
              <w:rPr>
                <w:rFonts w:asciiTheme="minorHAnsi" w:eastAsiaTheme="minorEastAsia" w:hAnsiTheme="minorHAnsi"/>
                <w:noProof/>
                <w:sz w:val="22"/>
                <w:szCs w:val="22"/>
                <w:lang w:eastAsia="en-GB"/>
              </w:rPr>
              <w:tab/>
            </w:r>
            <w:r w:rsidR="003E459D" w:rsidRPr="006D007E">
              <w:rPr>
                <w:rStyle w:val="Hyperlink"/>
                <w:noProof/>
              </w:rPr>
              <w:t>Exit interview/survey</w:t>
            </w:r>
            <w:r w:rsidR="003E459D">
              <w:rPr>
                <w:noProof/>
                <w:webHidden/>
              </w:rPr>
              <w:tab/>
            </w:r>
            <w:r w:rsidR="003E459D">
              <w:rPr>
                <w:noProof/>
                <w:webHidden/>
              </w:rPr>
              <w:fldChar w:fldCharType="begin"/>
            </w:r>
            <w:r w:rsidR="003E459D">
              <w:rPr>
                <w:noProof/>
                <w:webHidden/>
              </w:rPr>
              <w:instrText xml:space="preserve"> PAGEREF _Toc137651115 \h </w:instrText>
            </w:r>
            <w:r w:rsidR="003E459D">
              <w:rPr>
                <w:noProof/>
                <w:webHidden/>
              </w:rPr>
            </w:r>
            <w:r w:rsidR="003E459D">
              <w:rPr>
                <w:noProof/>
                <w:webHidden/>
              </w:rPr>
              <w:fldChar w:fldCharType="separate"/>
            </w:r>
            <w:r w:rsidR="003E459D">
              <w:rPr>
                <w:noProof/>
                <w:webHidden/>
              </w:rPr>
              <w:t>12</w:t>
            </w:r>
            <w:r w:rsidR="003E459D">
              <w:rPr>
                <w:noProof/>
                <w:webHidden/>
              </w:rPr>
              <w:fldChar w:fldCharType="end"/>
            </w:r>
          </w:hyperlink>
        </w:p>
        <w:p w14:paraId="6BBFE81B" w14:textId="4390D242"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16" w:history="1">
            <w:r w:rsidR="003E459D" w:rsidRPr="006D007E">
              <w:rPr>
                <w:rStyle w:val="Hyperlink"/>
                <w:noProof/>
              </w:rPr>
              <w:t>3.5.</w:t>
            </w:r>
            <w:r w:rsidR="003E459D">
              <w:rPr>
                <w:rFonts w:asciiTheme="minorHAnsi" w:eastAsiaTheme="minorEastAsia" w:hAnsiTheme="minorHAnsi"/>
                <w:noProof/>
                <w:sz w:val="22"/>
                <w:szCs w:val="22"/>
                <w:lang w:eastAsia="en-GB"/>
              </w:rPr>
              <w:tab/>
            </w:r>
            <w:r w:rsidR="003E459D" w:rsidRPr="006D007E">
              <w:rPr>
                <w:rStyle w:val="Hyperlink"/>
                <w:noProof/>
              </w:rPr>
              <w:t>Reference requests</w:t>
            </w:r>
            <w:r w:rsidR="003E459D">
              <w:rPr>
                <w:noProof/>
                <w:webHidden/>
              </w:rPr>
              <w:tab/>
            </w:r>
            <w:r w:rsidR="003E459D">
              <w:rPr>
                <w:noProof/>
                <w:webHidden/>
              </w:rPr>
              <w:fldChar w:fldCharType="begin"/>
            </w:r>
            <w:r w:rsidR="003E459D">
              <w:rPr>
                <w:noProof/>
                <w:webHidden/>
              </w:rPr>
              <w:instrText xml:space="preserve"> PAGEREF _Toc137651116 \h </w:instrText>
            </w:r>
            <w:r w:rsidR="003E459D">
              <w:rPr>
                <w:noProof/>
                <w:webHidden/>
              </w:rPr>
            </w:r>
            <w:r w:rsidR="003E459D">
              <w:rPr>
                <w:noProof/>
                <w:webHidden/>
              </w:rPr>
              <w:fldChar w:fldCharType="separate"/>
            </w:r>
            <w:r w:rsidR="003E459D">
              <w:rPr>
                <w:noProof/>
                <w:webHidden/>
              </w:rPr>
              <w:t>13</w:t>
            </w:r>
            <w:r w:rsidR="003E459D">
              <w:rPr>
                <w:noProof/>
                <w:webHidden/>
              </w:rPr>
              <w:fldChar w:fldCharType="end"/>
            </w:r>
          </w:hyperlink>
        </w:p>
        <w:p w14:paraId="3C384D7E" w14:textId="1881F5F3" w:rsidR="003E459D" w:rsidRDefault="008D71FD">
          <w:pPr>
            <w:pStyle w:val="TOC2"/>
            <w:tabs>
              <w:tab w:val="left" w:pos="880"/>
              <w:tab w:val="right" w:leader="dot" w:pos="9016"/>
            </w:tabs>
            <w:rPr>
              <w:rFonts w:asciiTheme="minorHAnsi" w:eastAsiaTheme="minorEastAsia" w:hAnsiTheme="minorHAnsi"/>
              <w:noProof/>
              <w:sz w:val="22"/>
              <w:szCs w:val="22"/>
              <w:lang w:eastAsia="en-GB"/>
            </w:rPr>
          </w:pPr>
          <w:hyperlink w:anchor="_Toc137651117" w:history="1">
            <w:r w:rsidR="003E459D" w:rsidRPr="006D007E">
              <w:rPr>
                <w:rStyle w:val="Hyperlink"/>
                <w:noProof/>
              </w:rPr>
              <w:t>4.</w:t>
            </w:r>
            <w:r w:rsidR="003E459D">
              <w:rPr>
                <w:rFonts w:asciiTheme="minorHAnsi" w:eastAsiaTheme="minorEastAsia" w:hAnsiTheme="minorHAnsi"/>
                <w:noProof/>
                <w:sz w:val="22"/>
                <w:szCs w:val="22"/>
                <w:lang w:eastAsia="en-GB"/>
              </w:rPr>
              <w:tab/>
            </w:r>
            <w:r w:rsidR="003E459D" w:rsidRPr="006D007E">
              <w:rPr>
                <w:rStyle w:val="Hyperlink"/>
                <w:noProof/>
              </w:rPr>
              <w:t>Resources</w:t>
            </w:r>
            <w:r w:rsidR="003E459D">
              <w:rPr>
                <w:noProof/>
                <w:webHidden/>
              </w:rPr>
              <w:tab/>
            </w:r>
            <w:r w:rsidR="003E459D">
              <w:rPr>
                <w:noProof/>
                <w:webHidden/>
              </w:rPr>
              <w:fldChar w:fldCharType="begin"/>
            </w:r>
            <w:r w:rsidR="003E459D">
              <w:rPr>
                <w:noProof/>
                <w:webHidden/>
              </w:rPr>
              <w:instrText xml:space="preserve"> PAGEREF _Toc137651117 \h </w:instrText>
            </w:r>
            <w:r w:rsidR="003E459D">
              <w:rPr>
                <w:noProof/>
                <w:webHidden/>
              </w:rPr>
            </w:r>
            <w:r w:rsidR="003E459D">
              <w:rPr>
                <w:noProof/>
                <w:webHidden/>
              </w:rPr>
              <w:fldChar w:fldCharType="separate"/>
            </w:r>
            <w:r w:rsidR="003E459D">
              <w:rPr>
                <w:noProof/>
                <w:webHidden/>
              </w:rPr>
              <w:t>14</w:t>
            </w:r>
            <w:r w:rsidR="003E459D">
              <w:rPr>
                <w:noProof/>
                <w:webHidden/>
              </w:rPr>
              <w:fldChar w:fldCharType="end"/>
            </w:r>
          </w:hyperlink>
        </w:p>
        <w:p w14:paraId="5701B403" w14:textId="3B69911B"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18" w:history="1">
            <w:r w:rsidR="003E459D" w:rsidRPr="006D007E">
              <w:rPr>
                <w:rStyle w:val="Hyperlink"/>
                <w:noProof/>
              </w:rPr>
              <w:t>4.1.</w:t>
            </w:r>
            <w:r w:rsidR="003E459D">
              <w:rPr>
                <w:rFonts w:asciiTheme="minorHAnsi" w:eastAsiaTheme="minorEastAsia" w:hAnsiTheme="minorHAnsi"/>
                <w:noProof/>
                <w:sz w:val="22"/>
                <w:szCs w:val="22"/>
                <w:lang w:eastAsia="en-GB"/>
              </w:rPr>
              <w:tab/>
            </w:r>
            <w:r w:rsidR="003E459D" w:rsidRPr="006D007E">
              <w:rPr>
                <w:rStyle w:val="Hyperlink"/>
                <w:noProof/>
              </w:rPr>
              <w:t>Forms</w:t>
            </w:r>
            <w:r w:rsidR="003E459D">
              <w:rPr>
                <w:noProof/>
                <w:webHidden/>
              </w:rPr>
              <w:tab/>
            </w:r>
            <w:r w:rsidR="003E459D">
              <w:rPr>
                <w:noProof/>
                <w:webHidden/>
              </w:rPr>
              <w:fldChar w:fldCharType="begin"/>
            </w:r>
            <w:r w:rsidR="003E459D">
              <w:rPr>
                <w:noProof/>
                <w:webHidden/>
              </w:rPr>
              <w:instrText xml:space="preserve"> PAGEREF _Toc137651118 \h </w:instrText>
            </w:r>
            <w:r w:rsidR="003E459D">
              <w:rPr>
                <w:noProof/>
                <w:webHidden/>
              </w:rPr>
            </w:r>
            <w:r w:rsidR="003E459D">
              <w:rPr>
                <w:noProof/>
                <w:webHidden/>
              </w:rPr>
              <w:fldChar w:fldCharType="separate"/>
            </w:r>
            <w:r w:rsidR="003E459D">
              <w:rPr>
                <w:noProof/>
                <w:webHidden/>
              </w:rPr>
              <w:t>14</w:t>
            </w:r>
            <w:r w:rsidR="003E459D">
              <w:rPr>
                <w:noProof/>
                <w:webHidden/>
              </w:rPr>
              <w:fldChar w:fldCharType="end"/>
            </w:r>
          </w:hyperlink>
        </w:p>
        <w:p w14:paraId="7763BDBD" w14:textId="4C1A7A98"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19" w:history="1">
            <w:r w:rsidR="003E459D" w:rsidRPr="006D007E">
              <w:rPr>
                <w:rStyle w:val="Hyperlink"/>
                <w:noProof/>
              </w:rPr>
              <w:t>4.2.</w:t>
            </w:r>
            <w:r w:rsidR="003E459D">
              <w:rPr>
                <w:rFonts w:asciiTheme="minorHAnsi" w:eastAsiaTheme="minorEastAsia" w:hAnsiTheme="minorHAnsi"/>
                <w:noProof/>
                <w:sz w:val="22"/>
                <w:szCs w:val="22"/>
                <w:lang w:eastAsia="en-GB"/>
              </w:rPr>
              <w:tab/>
            </w:r>
            <w:r w:rsidR="003E459D" w:rsidRPr="006D007E">
              <w:rPr>
                <w:rStyle w:val="Hyperlink"/>
                <w:noProof/>
              </w:rPr>
              <w:t>How to Guides</w:t>
            </w:r>
            <w:r w:rsidR="003E459D">
              <w:rPr>
                <w:noProof/>
                <w:webHidden/>
              </w:rPr>
              <w:tab/>
            </w:r>
            <w:r w:rsidR="003E459D">
              <w:rPr>
                <w:noProof/>
                <w:webHidden/>
              </w:rPr>
              <w:fldChar w:fldCharType="begin"/>
            </w:r>
            <w:r w:rsidR="003E459D">
              <w:rPr>
                <w:noProof/>
                <w:webHidden/>
              </w:rPr>
              <w:instrText xml:space="preserve"> PAGEREF _Toc137651119 \h </w:instrText>
            </w:r>
            <w:r w:rsidR="003E459D">
              <w:rPr>
                <w:noProof/>
                <w:webHidden/>
              </w:rPr>
            </w:r>
            <w:r w:rsidR="003E459D">
              <w:rPr>
                <w:noProof/>
                <w:webHidden/>
              </w:rPr>
              <w:fldChar w:fldCharType="separate"/>
            </w:r>
            <w:r w:rsidR="003E459D">
              <w:rPr>
                <w:noProof/>
                <w:webHidden/>
              </w:rPr>
              <w:t>14</w:t>
            </w:r>
            <w:r w:rsidR="003E459D">
              <w:rPr>
                <w:noProof/>
                <w:webHidden/>
              </w:rPr>
              <w:fldChar w:fldCharType="end"/>
            </w:r>
          </w:hyperlink>
        </w:p>
        <w:p w14:paraId="4872F605" w14:textId="02161290"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20" w:history="1">
            <w:r w:rsidR="003E459D" w:rsidRPr="006D007E">
              <w:rPr>
                <w:rStyle w:val="Hyperlink"/>
                <w:noProof/>
              </w:rPr>
              <w:t>4.3.</w:t>
            </w:r>
            <w:r w:rsidR="003E459D">
              <w:rPr>
                <w:rFonts w:asciiTheme="minorHAnsi" w:eastAsiaTheme="minorEastAsia" w:hAnsiTheme="minorHAnsi"/>
                <w:noProof/>
                <w:sz w:val="22"/>
                <w:szCs w:val="22"/>
                <w:lang w:eastAsia="en-GB"/>
              </w:rPr>
              <w:tab/>
            </w:r>
            <w:r w:rsidR="003E459D" w:rsidRPr="006D007E">
              <w:rPr>
                <w:rStyle w:val="Hyperlink"/>
                <w:noProof/>
              </w:rPr>
              <w:t>Related Procedures</w:t>
            </w:r>
            <w:r w:rsidR="003E459D">
              <w:rPr>
                <w:noProof/>
                <w:webHidden/>
              </w:rPr>
              <w:tab/>
            </w:r>
            <w:r w:rsidR="003E459D">
              <w:rPr>
                <w:noProof/>
                <w:webHidden/>
              </w:rPr>
              <w:fldChar w:fldCharType="begin"/>
            </w:r>
            <w:r w:rsidR="003E459D">
              <w:rPr>
                <w:noProof/>
                <w:webHidden/>
              </w:rPr>
              <w:instrText xml:space="preserve"> PAGEREF _Toc137651120 \h </w:instrText>
            </w:r>
            <w:r w:rsidR="003E459D">
              <w:rPr>
                <w:noProof/>
                <w:webHidden/>
              </w:rPr>
            </w:r>
            <w:r w:rsidR="003E459D">
              <w:rPr>
                <w:noProof/>
                <w:webHidden/>
              </w:rPr>
              <w:fldChar w:fldCharType="separate"/>
            </w:r>
            <w:r w:rsidR="003E459D">
              <w:rPr>
                <w:noProof/>
                <w:webHidden/>
              </w:rPr>
              <w:t>14</w:t>
            </w:r>
            <w:r w:rsidR="003E459D">
              <w:rPr>
                <w:noProof/>
                <w:webHidden/>
              </w:rPr>
              <w:fldChar w:fldCharType="end"/>
            </w:r>
          </w:hyperlink>
        </w:p>
        <w:p w14:paraId="7D54E91E" w14:textId="30166BF9" w:rsidR="003E459D" w:rsidRDefault="008D71FD">
          <w:pPr>
            <w:pStyle w:val="TOC3"/>
            <w:tabs>
              <w:tab w:val="left" w:pos="1320"/>
              <w:tab w:val="right" w:leader="dot" w:pos="9016"/>
            </w:tabs>
            <w:rPr>
              <w:rFonts w:asciiTheme="minorHAnsi" w:eastAsiaTheme="minorEastAsia" w:hAnsiTheme="minorHAnsi"/>
              <w:noProof/>
              <w:sz w:val="22"/>
              <w:szCs w:val="22"/>
              <w:lang w:eastAsia="en-GB"/>
            </w:rPr>
          </w:pPr>
          <w:hyperlink w:anchor="_Toc137651121" w:history="1">
            <w:r w:rsidR="003E459D" w:rsidRPr="006D007E">
              <w:rPr>
                <w:rStyle w:val="Hyperlink"/>
                <w:noProof/>
              </w:rPr>
              <w:t>4.4.</w:t>
            </w:r>
            <w:r w:rsidR="003E459D">
              <w:rPr>
                <w:rFonts w:asciiTheme="minorHAnsi" w:eastAsiaTheme="minorEastAsia" w:hAnsiTheme="minorHAnsi"/>
                <w:noProof/>
                <w:sz w:val="22"/>
                <w:szCs w:val="22"/>
                <w:lang w:eastAsia="en-GB"/>
              </w:rPr>
              <w:tab/>
            </w:r>
            <w:r w:rsidR="003E459D" w:rsidRPr="006D007E">
              <w:rPr>
                <w:rStyle w:val="Hyperlink"/>
                <w:noProof/>
              </w:rPr>
              <w:t>Useful Links</w:t>
            </w:r>
            <w:r w:rsidR="003E459D">
              <w:rPr>
                <w:noProof/>
                <w:webHidden/>
              </w:rPr>
              <w:tab/>
            </w:r>
            <w:r w:rsidR="003E459D">
              <w:rPr>
                <w:noProof/>
                <w:webHidden/>
              </w:rPr>
              <w:fldChar w:fldCharType="begin"/>
            </w:r>
            <w:r w:rsidR="003E459D">
              <w:rPr>
                <w:noProof/>
                <w:webHidden/>
              </w:rPr>
              <w:instrText xml:space="preserve"> PAGEREF _Toc137651121 \h </w:instrText>
            </w:r>
            <w:r w:rsidR="003E459D">
              <w:rPr>
                <w:noProof/>
                <w:webHidden/>
              </w:rPr>
            </w:r>
            <w:r w:rsidR="003E459D">
              <w:rPr>
                <w:noProof/>
                <w:webHidden/>
              </w:rPr>
              <w:fldChar w:fldCharType="separate"/>
            </w:r>
            <w:r w:rsidR="003E459D">
              <w:rPr>
                <w:noProof/>
                <w:webHidden/>
              </w:rPr>
              <w:t>14</w:t>
            </w:r>
            <w:r w:rsidR="003E459D">
              <w:rPr>
                <w:noProof/>
                <w:webHidden/>
              </w:rPr>
              <w:fldChar w:fldCharType="end"/>
            </w:r>
          </w:hyperlink>
        </w:p>
        <w:p w14:paraId="3D8012CB" w14:textId="6B914E09" w:rsidR="003E459D" w:rsidRDefault="008D71FD">
          <w:pPr>
            <w:pStyle w:val="TOC2"/>
            <w:tabs>
              <w:tab w:val="right" w:leader="dot" w:pos="9016"/>
            </w:tabs>
            <w:rPr>
              <w:rFonts w:asciiTheme="minorHAnsi" w:eastAsiaTheme="minorEastAsia" w:hAnsiTheme="minorHAnsi"/>
              <w:noProof/>
              <w:sz w:val="22"/>
              <w:szCs w:val="22"/>
              <w:lang w:eastAsia="en-GB"/>
            </w:rPr>
          </w:pPr>
          <w:hyperlink w:anchor="_Toc137651122" w:history="1">
            <w:r w:rsidR="003E459D" w:rsidRPr="006D007E">
              <w:rPr>
                <w:rStyle w:val="Hyperlink"/>
                <w:noProof/>
              </w:rPr>
              <w:t>Appendix A</w:t>
            </w:r>
            <w:r w:rsidR="003E459D">
              <w:rPr>
                <w:noProof/>
                <w:webHidden/>
              </w:rPr>
              <w:tab/>
            </w:r>
            <w:r w:rsidR="003E459D">
              <w:rPr>
                <w:noProof/>
                <w:webHidden/>
              </w:rPr>
              <w:fldChar w:fldCharType="begin"/>
            </w:r>
            <w:r w:rsidR="003E459D">
              <w:rPr>
                <w:noProof/>
                <w:webHidden/>
              </w:rPr>
              <w:instrText xml:space="preserve"> PAGEREF _Toc137651122 \h </w:instrText>
            </w:r>
            <w:r w:rsidR="003E459D">
              <w:rPr>
                <w:noProof/>
                <w:webHidden/>
              </w:rPr>
            </w:r>
            <w:r w:rsidR="003E459D">
              <w:rPr>
                <w:noProof/>
                <w:webHidden/>
              </w:rPr>
              <w:fldChar w:fldCharType="separate"/>
            </w:r>
            <w:r w:rsidR="003E459D">
              <w:rPr>
                <w:noProof/>
                <w:webHidden/>
              </w:rPr>
              <w:t>18</w:t>
            </w:r>
            <w:r w:rsidR="003E459D">
              <w:rPr>
                <w:noProof/>
                <w:webHidden/>
              </w:rPr>
              <w:fldChar w:fldCharType="end"/>
            </w:r>
          </w:hyperlink>
        </w:p>
        <w:p w14:paraId="755DC8FD" w14:textId="142AD553" w:rsidR="003E459D" w:rsidRDefault="008D71FD">
          <w:pPr>
            <w:pStyle w:val="TOC3"/>
            <w:tabs>
              <w:tab w:val="right" w:leader="dot" w:pos="9016"/>
            </w:tabs>
            <w:rPr>
              <w:rFonts w:asciiTheme="minorHAnsi" w:eastAsiaTheme="minorEastAsia" w:hAnsiTheme="minorHAnsi"/>
              <w:noProof/>
              <w:sz w:val="22"/>
              <w:szCs w:val="22"/>
              <w:lang w:eastAsia="en-GB"/>
            </w:rPr>
          </w:pPr>
          <w:hyperlink w:anchor="_Toc137651123" w:history="1">
            <w:r w:rsidR="003E459D" w:rsidRPr="006D007E">
              <w:rPr>
                <w:rStyle w:val="Hyperlink"/>
                <w:noProof/>
              </w:rPr>
              <w:t>How to conduct an exit interview</w:t>
            </w:r>
            <w:r w:rsidR="003E459D">
              <w:rPr>
                <w:noProof/>
                <w:webHidden/>
              </w:rPr>
              <w:tab/>
            </w:r>
            <w:r w:rsidR="003E459D">
              <w:rPr>
                <w:noProof/>
                <w:webHidden/>
              </w:rPr>
              <w:fldChar w:fldCharType="begin"/>
            </w:r>
            <w:r w:rsidR="003E459D">
              <w:rPr>
                <w:noProof/>
                <w:webHidden/>
              </w:rPr>
              <w:instrText xml:space="preserve"> PAGEREF _Toc137651123 \h </w:instrText>
            </w:r>
            <w:r w:rsidR="003E459D">
              <w:rPr>
                <w:noProof/>
                <w:webHidden/>
              </w:rPr>
            </w:r>
            <w:r w:rsidR="003E459D">
              <w:rPr>
                <w:noProof/>
                <w:webHidden/>
              </w:rPr>
              <w:fldChar w:fldCharType="separate"/>
            </w:r>
            <w:r w:rsidR="003E459D">
              <w:rPr>
                <w:noProof/>
                <w:webHidden/>
              </w:rPr>
              <w:t>18</w:t>
            </w:r>
            <w:r w:rsidR="003E459D">
              <w:rPr>
                <w:noProof/>
                <w:webHidden/>
              </w:rPr>
              <w:fldChar w:fldCharType="end"/>
            </w:r>
          </w:hyperlink>
        </w:p>
        <w:p w14:paraId="29F48A8C" w14:textId="73717E49" w:rsidR="003E459D" w:rsidRDefault="008D71FD">
          <w:pPr>
            <w:pStyle w:val="TOC2"/>
            <w:tabs>
              <w:tab w:val="right" w:leader="dot" w:pos="9016"/>
            </w:tabs>
            <w:rPr>
              <w:rFonts w:asciiTheme="minorHAnsi" w:eastAsiaTheme="minorEastAsia" w:hAnsiTheme="minorHAnsi"/>
              <w:noProof/>
              <w:sz w:val="22"/>
              <w:szCs w:val="22"/>
              <w:lang w:eastAsia="en-GB"/>
            </w:rPr>
          </w:pPr>
          <w:hyperlink w:anchor="_Toc137651124" w:history="1">
            <w:r w:rsidR="003E459D" w:rsidRPr="006D007E">
              <w:rPr>
                <w:rStyle w:val="Hyperlink"/>
                <w:rFonts w:eastAsia="Calibri"/>
                <w:noProof/>
              </w:rPr>
              <w:t>Appendix B</w:t>
            </w:r>
            <w:r w:rsidR="003E459D">
              <w:rPr>
                <w:noProof/>
                <w:webHidden/>
              </w:rPr>
              <w:tab/>
            </w:r>
            <w:r w:rsidR="003E459D">
              <w:rPr>
                <w:noProof/>
                <w:webHidden/>
              </w:rPr>
              <w:fldChar w:fldCharType="begin"/>
            </w:r>
            <w:r w:rsidR="003E459D">
              <w:rPr>
                <w:noProof/>
                <w:webHidden/>
              </w:rPr>
              <w:instrText xml:space="preserve"> PAGEREF _Toc137651124 \h </w:instrText>
            </w:r>
            <w:r w:rsidR="003E459D">
              <w:rPr>
                <w:noProof/>
                <w:webHidden/>
              </w:rPr>
            </w:r>
            <w:r w:rsidR="003E459D">
              <w:rPr>
                <w:noProof/>
                <w:webHidden/>
              </w:rPr>
              <w:fldChar w:fldCharType="separate"/>
            </w:r>
            <w:r w:rsidR="003E459D">
              <w:rPr>
                <w:noProof/>
                <w:webHidden/>
              </w:rPr>
              <w:t>21</w:t>
            </w:r>
            <w:r w:rsidR="003E459D">
              <w:rPr>
                <w:noProof/>
                <w:webHidden/>
              </w:rPr>
              <w:fldChar w:fldCharType="end"/>
            </w:r>
          </w:hyperlink>
        </w:p>
        <w:p w14:paraId="2573E16C" w14:textId="239A6E15" w:rsidR="003E459D" w:rsidRDefault="008D71FD">
          <w:pPr>
            <w:pStyle w:val="TOC3"/>
            <w:tabs>
              <w:tab w:val="right" w:leader="dot" w:pos="9016"/>
            </w:tabs>
            <w:rPr>
              <w:rFonts w:asciiTheme="minorHAnsi" w:eastAsiaTheme="minorEastAsia" w:hAnsiTheme="minorHAnsi"/>
              <w:noProof/>
              <w:sz w:val="22"/>
              <w:szCs w:val="22"/>
              <w:lang w:eastAsia="en-GB"/>
            </w:rPr>
          </w:pPr>
          <w:hyperlink w:anchor="_Toc137651125" w:history="1">
            <w:r w:rsidR="003E459D" w:rsidRPr="006D007E">
              <w:rPr>
                <w:rStyle w:val="Hyperlink"/>
                <w:rFonts w:eastAsia="Calibri"/>
                <w:noProof/>
              </w:rPr>
              <w:t>Questions and answers</w:t>
            </w:r>
            <w:r w:rsidR="003E459D">
              <w:rPr>
                <w:noProof/>
                <w:webHidden/>
              </w:rPr>
              <w:tab/>
            </w:r>
            <w:r w:rsidR="003E459D">
              <w:rPr>
                <w:noProof/>
                <w:webHidden/>
              </w:rPr>
              <w:fldChar w:fldCharType="begin"/>
            </w:r>
            <w:r w:rsidR="003E459D">
              <w:rPr>
                <w:noProof/>
                <w:webHidden/>
              </w:rPr>
              <w:instrText xml:space="preserve"> PAGEREF _Toc137651125 \h </w:instrText>
            </w:r>
            <w:r w:rsidR="003E459D">
              <w:rPr>
                <w:noProof/>
                <w:webHidden/>
              </w:rPr>
            </w:r>
            <w:r w:rsidR="003E459D">
              <w:rPr>
                <w:noProof/>
                <w:webHidden/>
              </w:rPr>
              <w:fldChar w:fldCharType="separate"/>
            </w:r>
            <w:r w:rsidR="003E459D">
              <w:rPr>
                <w:noProof/>
                <w:webHidden/>
              </w:rPr>
              <w:t>21</w:t>
            </w:r>
            <w:r w:rsidR="003E459D">
              <w:rPr>
                <w:noProof/>
                <w:webHidden/>
              </w:rPr>
              <w:fldChar w:fldCharType="end"/>
            </w:r>
          </w:hyperlink>
        </w:p>
        <w:p w14:paraId="49BBFE14" w14:textId="699BA76D" w:rsidR="005F0AF9" w:rsidRDefault="005F0AF9">
          <w:r>
            <w:rPr>
              <w:b/>
              <w:bCs/>
              <w:noProof/>
            </w:rPr>
            <w:fldChar w:fldCharType="end"/>
          </w:r>
        </w:p>
      </w:sdtContent>
    </w:sdt>
    <w:p w14:paraId="499F36F3" w14:textId="77777777" w:rsidR="00427849" w:rsidRPr="00427849" w:rsidRDefault="00427849" w:rsidP="009A13A9"/>
    <w:p w14:paraId="5D60BE96" w14:textId="77777777" w:rsidR="001D2C99" w:rsidRDefault="001D2C99" w:rsidP="009A13A9">
      <w:pPr>
        <w:rPr>
          <w:rFonts w:eastAsiaTheme="majorEastAsia" w:cstheme="majorBidi"/>
          <w:sz w:val="32"/>
          <w:szCs w:val="32"/>
        </w:rPr>
      </w:pPr>
      <w:r w:rsidRPr="00F03D31">
        <w:br w:type="page"/>
      </w:r>
    </w:p>
    <w:p w14:paraId="637C796D" w14:textId="77777777" w:rsidR="00B15959" w:rsidRDefault="00B15959" w:rsidP="00DE77F5">
      <w:pPr>
        <w:pStyle w:val="Heading2"/>
      </w:pPr>
      <w:bookmarkStart w:id="1" w:name="_Toc137651094"/>
      <w:bookmarkStart w:id="2" w:name="_Hlk137631556"/>
      <w:r w:rsidRPr="00DE77F5">
        <w:lastRenderedPageBreak/>
        <w:t>Overview</w:t>
      </w:r>
      <w:bookmarkEnd w:id="1"/>
    </w:p>
    <w:p w14:paraId="394B2AE2" w14:textId="720E3374" w:rsidR="00B15959" w:rsidRDefault="00906585" w:rsidP="00932FFC">
      <w:pPr>
        <w:pStyle w:val="Heading3"/>
        <w:ind w:left="794" w:hanging="794"/>
      </w:pPr>
      <w:bookmarkStart w:id="3" w:name="_Toc137651095"/>
      <w:r w:rsidRPr="009A13A9">
        <w:t>What</w:t>
      </w:r>
      <w:r>
        <w:t xml:space="preserve"> </w:t>
      </w:r>
      <w:r w:rsidRPr="00DE77F5">
        <w:t>is</w:t>
      </w:r>
      <w:r w:rsidR="000C6729">
        <w:t xml:space="preserve"> </w:t>
      </w:r>
      <w:r w:rsidR="000C6729" w:rsidRPr="00795655">
        <w:t>this</w:t>
      </w:r>
      <w:r w:rsidR="000C6729">
        <w:t xml:space="preserve"> about</w:t>
      </w:r>
      <w:r w:rsidR="00385E2A">
        <w:t>?</w:t>
      </w:r>
      <w:bookmarkEnd w:id="3"/>
    </w:p>
    <w:p w14:paraId="19EED086" w14:textId="1B31888C" w:rsidR="00332BD1" w:rsidRPr="00332BD1" w:rsidRDefault="00332BD1" w:rsidP="00332BD1">
      <w:r w:rsidRPr="00332BD1">
        <w:t xml:space="preserve">We value the contribution that </w:t>
      </w:r>
      <w:r w:rsidR="00A63B10">
        <w:t xml:space="preserve">all </w:t>
      </w:r>
      <w:r w:rsidRPr="00332BD1">
        <w:t xml:space="preserve">our officers and staff </w:t>
      </w:r>
      <w:r w:rsidR="00627CD5" w:rsidRPr="00332BD1">
        <w:t>make</w:t>
      </w:r>
      <w:r w:rsidR="00627CD5">
        <w:t xml:space="preserve"> and</w:t>
      </w:r>
      <w:r w:rsidRPr="00332BD1">
        <w:t xml:space="preserve"> </w:t>
      </w:r>
      <w:r w:rsidR="00A63B10">
        <w:t>recognise that at some stage</w:t>
      </w:r>
      <w:r w:rsidRPr="00332BD1">
        <w:t xml:space="preserve"> their service will come to an end. The following information explains how to leave </w:t>
      </w:r>
      <w:r w:rsidR="00A63B10">
        <w:t>the organisation</w:t>
      </w:r>
      <w:r w:rsidRPr="00332BD1">
        <w:t>.</w:t>
      </w:r>
    </w:p>
    <w:p w14:paraId="36F26B69" w14:textId="25D8CED2" w:rsidR="00C45BB1" w:rsidRDefault="000C6729" w:rsidP="00932FFC">
      <w:pPr>
        <w:pStyle w:val="Heading3"/>
        <w:ind w:left="794" w:hanging="794"/>
      </w:pPr>
      <w:bookmarkStart w:id="4" w:name="_Toc137651096"/>
      <w:r>
        <w:t>Who is this for</w:t>
      </w:r>
      <w:r w:rsidR="00385E2A">
        <w:t>?</w:t>
      </w:r>
      <w:bookmarkEnd w:id="4"/>
    </w:p>
    <w:p w14:paraId="0D0F633B" w14:textId="6FAE7ACF" w:rsidR="00C45BB1" w:rsidRDefault="00494DCF" w:rsidP="009A13A9">
      <w:r w:rsidRPr="00494DCF">
        <w:t xml:space="preserve">This is for officers, special </w:t>
      </w:r>
      <w:r w:rsidR="0008511A" w:rsidRPr="00494DCF">
        <w:t>constables,</w:t>
      </w:r>
      <w:r w:rsidRPr="00494DCF">
        <w:t xml:space="preserve"> and authority/police staff.</w:t>
      </w:r>
    </w:p>
    <w:p w14:paraId="225E77DF" w14:textId="25DFD6B6" w:rsidR="00C45BB1" w:rsidRDefault="00C45BB1" w:rsidP="00932FFC">
      <w:pPr>
        <w:pStyle w:val="Heading3"/>
        <w:ind w:left="794" w:hanging="794"/>
      </w:pPr>
      <w:bookmarkStart w:id="5" w:name="_Toc137651097"/>
      <w:r>
        <w:t>Key information</w:t>
      </w:r>
      <w:bookmarkEnd w:id="5"/>
    </w:p>
    <w:p w14:paraId="1EA0BCEE" w14:textId="0972C8DB" w:rsidR="00494DCF" w:rsidRDefault="007D64DC" w:rsidP="006C3AE2">
      <w:pPr>
        <w:pStyle w:val="ListParagraph"/>
        <w:numPr>
          <w:ilvl w:val="0"/>
          <w:numId w:val="5"/>
        </w:numPr>
      </w:pPr>
      <w:r>
        <w:t xml:space="preserve">We want to know about any problems or concerns that are </w:t>
      </w:r>
      <w:r w:rsidR="00D023DA">
        <w:t xml:space="preserve">making </w:t>
      </w:r>
      <w:r w:rsidR="00A63B10">
        <w:t xml:space="preserve">people think about </w:t>
      </w:r>
      <w:r>
        <w:t>leaving the organisation</w:t>
      </w:r>
      <w:r w:rsidR="00A63B10">
        <w:t>. If there</w:t>
      </w:r>
      <w:r w:rsidR="003715DC">
        <w:t xml:space="preserve"> i</w:t>
      </w:r>
      <w:r w:rsidR="00A63B10">
        <w:t xml:space="preserve">s any way we can retain people by making meaningful changes that would influence the decision to leave, then </w:t>
      </w:r>
      <w:r w:rsidR="00D27F4F">
        <w:t xml:space="preserve">please </w:t>
      </w:r>
      <w:r w:rsidR="00932FFC">
        <w:t>speak to your line manager</w:t>
      </w:r>
      <w:r w:rsidR="00D27F4F">
        <w:t>.</w:t>
      </w:r>
    </w:p>
    <w:p w14:paraId="71372494" w14:textId="491F54F8" w:rsidR="00021981" w:rsidRDefault="00EB649C" w:rsidP="006C3AE2">
      <w:pPr>
        <w:pStyle w:val="ListParagraph"/>
        <w:numPr>
          <w:ilvl w:val="0"/>
          <w:numId w:val="5"/>
        </w:numPr>
      </w:pPr>
      <w:r>
        <w:t>To resign</w:t>
      </w:r>
      <w:r w:rsidR="00AD0DAB">
        <w:t xml:space="preserve"> from the service</w:t>
      </w:r>
      <w:r w:rsidR="00021981" w:rsidRPr="00021981">
        <w:t xml:space="preserve"> the online </w:t>
      </w:r>
      <w:r w:rsidR="00021981" w:rsidRPr="00583520">
        <w:t>Resignation/Retiral form</w:t>
      </w:r>
      <w:r w:rsidRPr="00EB649C">
        <w:t xml:space="preserve"> </w:t>
      </w:r>
      <w:r w:rsidRPr="00021981">
        <w:t>need</w:t>
      </w:r>
      <w:r>
        <w:t>s</w:t>
      </w:r>
      <w:r w:rsidRPr="00021981">
        <w:t xml:space="preserve"> to </w:t>
      </w:r>
      <w:r>
        <w:t xml:space="preserve">be </w:t>
      </w:r>
      <w:r w:rsidRPr="00021981">
        <w:t>complete</w:t>
      </w:r>
      <w:r w:rsidR="005610AE">
        <w:t xml:space="preserve">. </w:t>
      </w:r>
      <w:r>
        <w:t>F</w:t>
      </w:r>
      <w:r w:rsidRPr="00021981">
        <w:t xml:space="preserve">urther details on the processes </w:t>
      </w:r>
      <w:r w:rsidR="001D5F45">
        <w:t xml:space="preserve">and the timescales involved can be found on the </w:t>
      </w:r>
      <w:r w:rsidR="00021981" w:rsidRPr="00583520">
        <w:t xml:space="preserve">Leavers mini site </w:t>
      </w:r>
      <w:r w:rsidR="001D5F45" w:rsidRPr="00583520">
        <w:t>of</w:t>
      </w:r>
      <w:r w:rsidRPr="00583520">
        <w:t xml:space="preserve"> the I</w:t>
      </w:r>
      <w:r w:rsidR="001D5F45" w:rsidRPr="00583520">
        <w:t>ntranet</w:t>
      </w:r>
      <w:r w:rsidR="001D5F45" w:rsidRPr="00BC7507">
        <w:t>.</w:t>
      </w:r>
    </w:p>
    <w:p w14:paraId="2733AF78" w14:textId="122F9BA4" w:rsidR="00494DCF" w:rsidRDefault="00494DCF" w:rsidP="006C3AE2">
      <w:pPr>
        <w:pStyle w:val="ListParagraph"/>
        <w:numPr>
          <w:ilvl w:val="0"/>
          <w:numId w:val="5"/>
        </w:numPr>
      </w:pPr>
      <w:r>
        <w:t xml:space="preserve">Annual leave is pro-rated during the final annual leave year. If more annual leave has been taken than an individual is entitled to, we will </w:t>
      </w:r>
      <w:r w:rsidR="00021981">
        <w:t>deduct</w:t>
      </w:r>
      <w:r>
        <w:t xml:space="preserve"> this from the final salary.</w:t>
      </w:r>
    </w:p>
    <w:p w14:paraId="33C4572C" w14:textId="351BE596" w:rsidR="00610FBA" w:rsidRDefault="00610FBA" w:rsidP="006C3AE2">
      <w:pPr>
        <w:pStyle w:val="ListParagraph"/>
        <w:numPr>
          <w:ilvl w:val="0"/>
          <w:numId w:val="5"/>
        </w:numPr>
      </w:pPr>
      <w:r w:rsidRPr="00610FBA">
        <w:t xml:space="preserve">We would like to know more about how our people found their time with us and encourage leavers to take the opportunity to take part in </w:t>
      </w:r>
      <w:r w:rsidR="00C06469">
        <w:t>an Exit Interview</w:t>
      </w:r>
      <w:r>
        <w:t xml:space="preserve">. </w:t>
      </w:r>
    </w:p>
    <w:p w14:paraId="04DF5E9F" w14:textId="757A125C" w:rsidR="00494DCF" w:rsidRDefault="00610FBA" w:rsidP="006C3AE2">
      <w:pPr>
        <w:pStyle w:val="ListParagraph"/>
        <w:numPr>
          <w:ilvl w:val="0"/>
          <w:numId w:val="5"/>
        </w:numPr>
      </w:pPr>
      <w:r>
        <w:t>A</w:t>
      </w:r>
      <w:r w:rsidR="00494DCF">
        <w:t xml:space="preserve">n </w:t>
      </w:r>
      <w:r w:rsidR="00494DCF" w:rsidRPr="00174868">
        <w:t>exit survey</w:t>
      </w:r>
      <w:r>
        <w:t xml:space="preserve"> will be issued to all leavers </w:t>
      </w:r>
      <w:r w:rsidR="00615BA1">
        <w:t>to</w:t>
      </w:r>
      <w:r w:rsidR="00494DCF">
        <w:t xml:space="preserve"> provide us with valuable feedback on people’s experience of working with us.</w:t>
      </w:r>
    </w:p>
    <w:p w14:paraId="763B1A8E" w14:textId="617DD1DB" w:rsidR="00217012" w:rsidRPr="00217012" w:rsidRDefault="00887C3F" w:rsidP="006C3AE2">
      <w:pPr>
        <w:pStyle w:val="ListParagraph"/>
        <w:numPr>
          <w:ilvl w:val="0"/>
          <w:numId w:val="5"/>
        </w:numPr>
        <w:rPr>
          <w:rFonts w:eastAsiaTheme="majorEastAsia" w:cstheme="majorBidi"/>
          <w:sz w:val="32"/>
          <w:szCs w:val="32"/>
        </w:rPr>
      </w:pPr>
      <w:r>
        <w:lastRenderedPageBreak/>
        <w:t>O</w:t>
      </w:r>
      <w:r w:rsidR="00494DCF">
        <w:t xml:space="preserve">fficers and staff </w:t>
      </w:r>
      <w:r>
        <w:t xml:space="preserve">will be </w:t>
      </w:r>
      <w:r w:rsidR="00494DCF">
        <w:t>provide</w:t>
      </w:r>
      <w:r w:rsidR="00EB649C">
        <w:t>d</w:t>
      </w:r>
      <w:r w:rsidR="00494DCF">
        <w:t xml:space="preserve"> a Certificate of Service</w:t>
      </w:r>
      <w:r w:rsidR="002433F2">
        <w:t>, which will include</w:t>
      </w:r>
      <w:r w:rsidR="00494DCF">
        <w:t xml:space="preserve"> service with any other police force.</w:t>
      </w:r>
    </w:p>
    <w:p w14:paraId="1C9CD1FC" w14:textId="3FE30711" w:rsidR="001D2C99" w:rsidRPr="00494DCF" w:rsidRDefault="00217012" w:rsidP="006C3AE2">
      <w:pPr>
        <w:pStyle w:val="ListParagraph"/>
        <w:numPr>
          <w:ilvl w:val="0"/>
          <w:numId w:val="5"/>
        </w:numPr>
        <w:rPr>
          <w:rFonts w:eastAsiaTheme="majorEastAsia" w:cstheme="majorBidi"/>
          <w:sz w:val="32"/>
          <w:szCs w:val="32"/>
        </w:rPr>
      </w:pPr>
      <w:r>
        <w:t xml:space="preserve">All leavers should receive payment </w:t>
      </w:r>
      <w:r w:rsidRPr="006E274B">
        <w:t>for pay awards implemented after their leaving date</w:t>
      </w:r>
      <w:r w:rsidR="00CB3E22">
        <w:t>,</w:t>
      </w:r>
      <w:r>
        <w:t xml:space="preserve"> where they have relevant employment covering the effective date of any pay award implementation</w:t>
      </w:r>
      <w:r w:rsidR="00CB3E22">
        <w:t>,</w:t>
      </w:r>
      <w:r>
        <w:t xml:space="preserve"> and their leaving date.</w:t>
      </w:r>
      <w:r w:rsidRPr="00217012">
        <w:t xml:space="preserve"> </w:t>
      </w:r>
      <w:r>
        <w:t>Applications should be made</w:t>
      </w:r>
      <w:r w:rsidR="00181895">
        <w:t xml:space="preserve"> within three</w:t>
      </w:r>
      <w:r w:rsidRPr="00217012">
        <w:t xml:space="preserve"> months of the award, and in advance of the end of the financial year</w:t>
      </w:r>
      <w:r w:rsidR="00181895">
        <w:t xml:space="preserve"> where possible</w:t>
      </w:r>
      <w:r w:rsidR="00CB3E22">
        <w:t>. For payment to be made applicants must confirm</w:t>
      </w:r>
      <w:r w:rsidRPr="00217012">
        <w:t xml:space="preserve"> bank details and address. </w:t>
      </w:r>
      <w:r w:rsidR="001D2C99">
        <w:br w:type="page"/>
      </w:r>
    </w:p>
    <w:p w14:paraId="4730617A" w14:textId="5F7CC473" w:rsidR="00B15959" w:rsidRDefault="00F460C9" w:rsidP="00DE77F5">
      <w:pPr>
        <w:pStyle w:val="Heading2"/>
      </w:pPr>
      <w:bookmarkStart w:id="6" w:name="_Toc137651098"/>
      <w:r>
        <w:lastRenderedPageBreak/>
        <w:t>Staff/</w:t>
      </w:r>
      <w:r w:rsidRPr="00795655">
        <w:t>Officer</w:t>
      </w:r>
      <w:bookmarkEnd w:id="6"/>
    </w:p>
    <w:p w14:paraId="26185040" w14:textId="6A2B71E7" w:rsidR="00B15959" w:rsidRDefault="001C4625" w:rsidP="00932FFC">
      <w:pPr>
        <w:pStyle w:val="Heading3"/>
        <w:ind w:left="794" w:hanging="794"/>
      </w:pPr>
      <w:bookmarkStart w:id="7" w:name="_Toc137651099"/>
      <w:r>
        <w:t>What you need to do</w:t>
      </w:r>
      <w:r w:rsidR="00B8536A">
        <w:t>:</w:t>
      </w:r>
      <w:bookmarkEnd w:id="7"/>
    </w:p>
    <w:p w14:paraId="40FD8FA7" w14:textId="2115B99B" w:rsidR="00021981" w:rsidRDefault="00021981" w:rsidP="006C3AE2">
      <w:pPr>
        <w:pStyle w:val="ListParagraph"/>
        <w:numPr>
          <w:ilvl w:val="0"/>
          <w:numId w:val="6"/>
        </w:numPr>
      </w:pPr>
      <w:r w:rsidRPr="00021981">
        <w:t xml:space="preserve">Let your line manager or another suitable member of your management team know about your </w:t>
      </w:r>
      <w:r w:rsidR="00E44967">
        <w:t>intention to resign / retire</w:t>
      </w:r>
      <w:r w:rsidRPr="00021981">
        <w:t>.</w:t>
      </w:r>
    </w:p>
    <w:p w14:paraId="5387910A" w14:textId="1F67CDA1" w:rsidR="00494DCF" w:rsidRDefault="00494DCF" w:rsidP="006C3AE2">
      <w:pPr>
        <w:pStyle w:val="ListParagraph"/>
        <w:numPr>
          <w:ilvl w:val="0"/>
          <w:numId w:val="6"/>
        </w:numPr>
      </w:pPr>
      <w:r>
        <w:t xml:space="preserve">Complete the online </w:t>
      </w:r>
      <w:r w:rsidRPr="00583520">
        <w:t>Resignation/Retiral form</w:t>
      </w:r>
      <w:r>
        <w:t xml:space="preserve"> and give </w:t>
      </w:r>
      <w:r w:rsidR="00FC5642">
        <w:t>the correct notice. In circumstances where you cannot access the online form because you are not at work</w:t>
      </w:r>
      <w:r w:rsidR="003715DC">
        <w:t>,</w:t>
      </w:r>
      <w:r w:rsidR="00FC5642">
        <w:t xml:space="preserve"> and will not return to work, you should email your line manager with details of your resignation</w:t>
      </w:r>
      <w:r w:rsidR="000D371A">
        <w:t xml:space="preserve"> or retirement</w:t>
      </w:r>
      <w:r w:rsidR="00FC5642">
        <w:t>.</w:t>
      </w:r>
    </w:p>
    <w:p w14:paraId="5CD33135" w14:textId="54D53206" w:rsidR="00D65C05" w:rsidRDefault="00D65C05" w:rsidP="006C3AE2">
      <w:pPr>
        <w:pStyle w:val="ListParagraph"/>
        <w:numPr>
          <w:ilvl w:val="0"/>
          <w:numId w:val="6"/>
        </w:numPr>
      </w:pPr>
      <w:r>
        <w:t>Make sure you have no outstanding TOIL, annual leave, flexi-time or rest day balances.</w:t>
      </w:r>
    </w:p>
    <w:p w14:paraId="5482935D" w14:textId="2D1398B2" w:rsidR="00D65C05" w:rsidRDefault="00D65C05" w:rsidP="006C3AE2">
      <w:pPr>
        <w:pStyle w:val="ListParagraph"/>
        <w:numPr>
          <w:ilvl w:val="0"/>
          <w:numId w:val="6"/>
        </w:numPr>
      </w:pPr>
      <w:r>
        <w:t>Complete all SCoPE administration such as, overtime claims, accident forms, return to work interviews, appraisals etc.</w:t>
      </w:r>
    </w:p>
    <w:p w14:paraId="12D3FF82" w14:textId="6B607AF6" w:rsidR="00494DCF" w:rsidRDefault="00494DCF" w:rsidP="006C3AE2">
      <w:pPr>
        <w:pStyle w:val="ListParagraph"/>
        <w:numPr>
          <w:ilvl w:val="0"/>
          <w:numId w:val="6"/>
        </w:numPr>
      </w:pPr>
      <w:r>
        <w:t xml:space="preserve">Return all uniform and equipment, including any ID </w:t>
      </w:r>
      <w:r w:rsidR="00021981">
        <w:t>and/</w:t>
      </w:r>
      <w:r w:rsidR="009F2164">
        <w:t xml:space="preserve">or access cards, and tell us about any tools or equipment you have been provided as a reasonable adjustment. </w:t>
      </w:r>
    </w:p>
    <w:p w14:paraId="31FEAE84" w14:textId="57EDC951" w:rsidR="00494DCF" w:rsidRDefault="00494DCF" w:rsidP="006C3AE2">
      <w:pPr>
        <w:pStyle w:val="ListParagraph"/>
        <w:numPr>
          <w:ilvl w:val="0"/>
          <w:numId w:val="6"/>
        </w:numPr>
      </w:pPr>
      <w:r>
        <w:t>Take a moment to reflect on your time with us and let us know what we have done well and where we could imp</w:t>
      </w:r>
      <w:r w:rsidR="00E44967">
        <w:t>rove</w:t>
      </w:r>
      <w:r>
        <w:t>.</w:t>
      </w:r>
    </w:p>
    <w:p w14:paraId="3787AE21" w14:textId="24237503" w:rsidR="009F2CB3" w:rsidRPr="00494DCF" w:rsidRDefault="009F2CB3" w:rsidP="006C3AE2">
      <w:pPr>
        <w:pStyle w:val="ListParagraph"/>
        <w:numPr>
          <w:ilvl w:val="0"/>
          <w:numId w:val="5"/>
        </w:numPr>
      </w:pPr>
      <w:r>
        <w:t>Make provision to settle any outstanding salary sacrifice agreements. Final salaries will be adjusted to recover any outstanding balances associated with salary sacrifice agreements</w:t>
      </w:r>
      <w:r w:rsidR="00D65C05">
        <w:t xml:space="preserve"> from net pay</w:t>
      </w:r>
      <w:r>
        <w:t xml:space="preserve">. Where there is insufficient salary to settle all agreements, </w:t>
      </w:r>
      <w:r w:rsidR="00807523">
        <w:t>you</w:t>
      </w:r>
      <w:r>
        <w:t xml:space="preserve"> will </w:t>
      </w:r>
      <w:r w:rsidR="00C06469">
        <w:t xml:space="preserve">have seven days from leaving employment to settle outstanding </w:t>
      </w:r>
      <w:r w:rsidR="00635C55">
        <w:t>amounts.</w:t>
      </w:r>
    </w:p>
    <w:p w14:paraId="0A566739" w14:textId="77777777" w:rsidR="000464A8" w:rsidRDefault="000464A8" w:rsidP="000464A8">
      <w:r>
        <w:br w:type="page"/>
      </w:r>
    </w:p>
    <w:p w14:paraId="6977C70C" w14:textId="4C4C2AFA" w:rsidR="001D2C99" w:rsidRDefault="00494DCF" w:rsidP="00932FFC">
      <w:pPr>
        <w:pStyle w:val="Heading3"/>
        <w:ind w:left="794" w:hanging="794"/>
      </w:pPr>
      <w:bookmarkStart w:id="8" w:name="_Toc137651100"/>
      <w:r>
        <w:lastRenderedPageBreak/>
        <w:t>Notice periods</w:t>
      </w:r>
      <w:bookmarkEnd w:id="8"/>
    </w:p>
    <w:p w14:paraId="23301A67" w14:textId="2D4A4B11" w:rsidR="00494DCF" w:rsidRDefault="00494DCF" w:rsidP="00494DCF">
      <w:r w:rsidRPr="00494DCF">
        <w:t xml:space="preserve">Your notice period starts the day after the </w:t>
      </w:r>
      <w:r w:rsidRPr="00583520">
        <w:t>Resignation/Retiral form</w:t>
      </w:r>
      <w:r w:rsidRPr="00494DCF">
        <w:t xml:space="preserve"> is submitted.</w:t>
      </w:r>
      <w:r w:rsidR="00A6113D">
        <w:t xml:space="preserve"> </w:t>
      </w:r>
      <w:r w:rsidR="00A6113D" w:rsidRPr="00A6113D">
        <w:t xml:space="preserve">If you are retiring, you should aim to give three months’ notice. This is to make sure the pension administrator </w:t>
      </w:r>
      <w:r w:rsidR="003715DC" w:rsidRPr="00A6113D">
        <w:t>has</w:t>
      </w:r>
      <w:r w:rsidR="00A6113D" w:rsidRPr="00A6113D">
        <w:t xml:space="preserve"> plenty of time to process your pension.</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ice period per rank/grade"/>
        <w:tblDescription w:val="The table is split into two columns, rank/grade and notice period. Upto and including grade 7 has 4 weeks notice period, grade 8 and above is 8 weeks notice period, constable to chief superintendent is 28 days notice period, and assistant chief constable or above is 3 months notice period. If you are retiring you should give 3 months' notice period. This is to make sure the Pension Fund have plenty of time to process your pension."/>
      </w:tblPr>
      <w:tblGrid>
        <w:gridCol w:w="4508"/>
        <w:gridCol w:w="4508"/>
      </w:tblGrid>
      <w:tr w:rsidR="00494DCF" w14:paraId="232E02DA" w14:textId="77777777" w:rsidTr="00D01940">
        <w:tc>
          <w:tcPr>
            <w:tcW w:w="4508" w:type="dxa"/>
          </w:tcPr>
          <w:p w14:paraId="387E6086" w14:textId="31AAE70E" w:rsidR="00494DCF" w:rsidRPr="00171FDE" w:rsidRDefault="00494DCF" w:rsidP="00494DCF">
            <w:pPr>
              <w:rPr>
                <w:rFonts w:ascii="Arial" w:hAnsi="Arial" w:cs="Arial"/>
                <w:b/>
                <w:sz w:val="24"/>
                <w:szCs w:val="24"/>
              </w:rPr>
            </w:pPr>
            <w:r w:rsidRPr="00171FDE">
              <w:rPr>
                <w:rFonts w:ascii="Arial" w:hAnsi="Arial" w:cs="Arial"/>
                <w:b/>
                <w:sz w:val="24"/>
                <w:szCs w:val="24"/>
              </w:rPr>
              <w:t>Rank/Grade</w:t>
            </w:r>
          </w:p>
        </w:tc>
        <w:tc>
          <w:tcPr>
            <w:tcW w:w="4508" w:type="dxa"/>
          </w:tcPr>
          <w:p w14:paraId="6349D99B" w14:textId="046EC773" w:rsidR="00494DCF" w:rsidRPr="00171FDE" w:rsidRDefault="00494DCF" w:rsidP="00494DCF">
            <w:pPr>
              <w:rPr>
                <w:rFonts w:ascii="Arial" w:hAnsi="Arial" w:cs="Arial"/>
                <w:b/>
                <w:sz w:val="24"/>
                <w:szCs w:val="24"/>
              </w:rPr>
            </w:pPr>
            <w:r w:rsidRPr="00171FDE">
              <w:rPr>
                <w:rFonts w:ascii="Arial" w:hAnsi="Arial" w:cs="Arial"/>
                <w:b/>
                <w:sz w:val="24"/>
                <w:szCs w:val="24"/>
              </w:rPr>
              <w:t>Notice Period</w:t>
            </w:r>
          </w:p>
        </w:tc>
      </w:tr>
      <w:tr w:rsidR="00494DCF" w14:paraId="41C9EEE4" w14:textId="77777777" w:rsidTr="00D01940">
        <w:tc>
          <w:tcPr>
            <w:tcW w:w="4508" w:type="dxa"/>
          </w:tcPr>
          <w:p w14:paraId="37301C1E" w14:textId="33C58DB6" w:rsidR="00494DCF" w:rsidRPr="00494DCF" w:rsidRDefault="00EC4A41" w:rsidP="00494DCF">
            <w:pPr>
              <w:rPr>
                <w:rFonts w:ascii="Arial" w:hAnsi="Arial" w:cs="Arial"/>
                <w:sz w:val="24"/>
                <w:szCs w:val="24"/>
              </w:rPr>
            </w:pPr>
            <w:r>
              <w:rPr>
                <w:rFonts w:ascii="Arial" w:hAnsi="Arial" w:cs="Arial"/>
                <w:sz w:val="24"/>
                <w:szCs w:val="24"/>
              </w:rPr>
              <w:t>Up to and including G</w:t>
            </w:r>
            <w:r w:rsidR="00494DCF" w:rsidRPr="00494DCF">
              <w:rPr>
                <w:rFonts w:ascii="Arial" w:hAnsi="Arial" w:cs="Arial"/>
                <w:sz w:val="24"/>
                <w:szCs w:val="24"/>
              </w:rPr>
              <w:t>rade 7</w:t>
            </w:r>
          </w:p>
        </w:tc>
        <w:tc>
          <w:tcPr>
            <w:tcW w:w="4508" w:type="dxa"/>
          </w:tcPr>
          <w:p w14:paraId="4BB38A35" w14:textId="42343B12" w:rsidR="00494DCF" w:rsidRPr="00494DCF" w:rsidRDefault="00932FFC" w:rsidP="00494DCF">
            <w:pPr>
              <w:rPr>
                <w:rFonts w:ascii="Arial" w:hAnsi="Arial" w:cs="Arial"/>
                <w:sz w:val="24"/>
                <w:szCs w:val="24"/>
              </w:rPr>
            </w:pPr>
            <w:r>
              <w:rPr>
                <w:rFonts w:ascii="Arial" w:hAnsi="Arial" w:cs="Arial"/>
                <w:sz w:val="24"/>
                <w:szCs w:val="24"/>
              </w:rPr>
              <w:t>Four</w:t>
            </w:r>
            <w:r w:rsidRPr="00494DCF">
              <w:rPr>
                <w:rFonts w:ascii="Arial" w:hAnsi="Arial" w:cs="Arial"/>
                <w:sz w:val="24"/>
                <w:szCs w:val="24"/>
              </w:rPr>
              <w:t xml:space="preserve"> weeks</w:t>
            </w:r>
          </w:p>
        </w:tc>
      </w:tr>
      <w:tr w:rsidR="00494DCF" w14:paraId="3A492203" w14:textId="77777777" w:rsidTr="00D01940">
        <w:tc>
          <w:tcPr>
            <w:tcW w:w="4508" w:type="dxa"/>
          </w:tcPr>
          <w:p w14:paraId="7ADE8049" w14:textId="1CC66ECA" w:rsidR="00494DCF" w:rsidRPr="00494DCF" w:rsidRDefault="00494DCF" w:rsidP="00494DCF">
            <w:pPr>
              <w:rPr>
                <w:rFonts w:ascii="Arial" w:hAnsi="Arial" w:cs="Arial"/>
                <w:sz w:val="24"/>
                <w:szCs w:val="24"/>
              </w:rPr>
            </w:pPr>
            <w:r w:rsidRPr="00494DCF">
              <w:rPr>
                <w:rFonts w:ascii="Arial" w:hAnsi="Arial" w:cs="Arial"/>
                <w:sz w:val="24"/>
                <w:szCs w:val="24"/>
              </w:rPr>
              <w:t xml:space="preserve">Grade 8 </w:t>
            </w:r>
            <w:r w:rsidR="00436584">
              <w:rPr>
                <w:rFonts w:ascii="Arial" w:hAnsi="Arial" w:cs="Arial"/>
                <w:sz w:val="24"/>
                <w:szCs w:val="24"/>
              </w:rPr>
              <w:t>-14 inclusive</w:t>
            </w:r>
            <w:r w:rsidRPr="00494DCF">
              <w:rPr>
                <w:rFonts w:ascii="Arial" w:hAnsi="Arial" w:cs="Arial"/>
                <w:sz w:val="24"/>
                <w:szCs w:val="24"/>
              </w:rPr>
              <w:t xml:space="preserve"> </w:t>
            </w:r>
          </w:p>
        </w:tc>
        <w:tc>
          <w:tcPr>
            <w:tcW w:w="4508" w:type="dxa"/>
          </w:tcPr>
          <w:p w14:paraId="44EC5A18" w14:textId="4C0F6172" w:rsidR="00494DCF" w:rsidRPr="00494DCF" w:rsidRDefault="00932FFC" w:rsidP="00494DCF">
            <w:pPr>
              <w:rPr>
                <w:rFonts w:ascii="Arial" w:hAnsi="Arial" w:cs="Arial"/>
                <w:sz w:val="24"/>
                <w:szCs w:val="24"/>
              </w:rPr>
            </w:pPr>
            <w:r>
              <w:rPr>
                <w:rFonts w:ascii="Arial" w:hAnsi="Arial" w:cs="Arial"/>
                <w:sz w:val="24"/>
                <w:szCs w:val="24"/>
              </w:rPr>
              <w:t>Eight</w:t>
            </w:r>
            <w:r w:rsidRPr="00494DCF">
              <w:rPr>
                <w:rFonts w:ascii="Arial" w:hAnsi="Arial" w:cs="Arial"/>
                <w:sz w:val="24"/>
                <w:szCs w:val="24"/>
              </w:rPr>
              <w:t xml:space="preserve"> weeks</w:t>
            </w:r>
          </w:p>
        </w:tc>
      </w:tr>
      <w:tr w:rsidR="00494DCF" w14:paraId="03E50381" w14:textId="77777777" w:rsidTr="00D01940">
        <w:tc>
          <w:tcPr>
            <w:tcW w:w="4508" w:type="dxa"/>
          </w:tcPr>
          <w:p w14:paraId="22AA9805" w14:textId="0F390D7C" w:rsidR="00494DCF" w:rsidRPr="00494DCF" w:rsidRDefault="00494DCF" w:rsidP="00494DCF">
            <w:pPr>
              <w:rPr>
                <w:rFonts w:ascii="Arial" w:hAnsi="Arial" w:cs="Arial"/>
                <w:sz w:val="24"/>
                <w:szCs w:val="24"/>
              </w:rPr>
            </w:pPr>
            <w:r w:rsidRPr="00494DCF">
              <w:rPr>
                <w:rFonts w:ascii="Arial" w:hAnsi="Arial" w:cs="Arial"/>
                <w:sz w:val="24"/>
                <w:szCs w:val="24"/>
              </w:rPr>
              <w:t>Constable to Chief Superintendent</w:t>
            </w:r>
          </w:p>
        </w:tc>
        <w:tc>
          <w:tcPr>
            <w:tcW w:w="4508" w:type="dxa"/>
          </w:tcPr>
          <w:p w14:paraId="0596C3DF" w14:textId="1AC7160F" w:rsidR="00494DCF" w:rsidRPr="00494DCF" w:rsidRDefault="00494DCF" w:rsidP="00494DCF">
            <w:pPr>
              <w:rPr>
                <w:rFonts w:ascii="Arial" w:hAnsi="Arial" w:cs="Arial"/>
                <w:sz w:val="24"/>
                <w:szCs w:val="24"/>
              </w:rPr>
            </w:pPr>
            <w:r w:rsidRPr="00494DCF">
              <w:rPr>
                <w:rFonts w:ascii="Arial" w:hAnsi="Arial" w:cs="Arial"/>
                <w:sz w:val="24"/>
                <w:szCs w:val="24"/>
              </w:rPr>
              <w:t>28 days</w:t>
            </w:r>
          </w:p>
        </w:tc>
      </w:tr>
      <w:tr w:rsidR="00494DCF" w14:paraId="643544F5" w14:textId="77777777" w:rsidTr="00D01940">
        <w:tc>
          <w:tcPr>
            <w:tcW w:w="4508" w:type="dxa"/>
          </w:tcPr>
          <w:p w14:paraId="03C415E7" w14:textId="62A5F6EB" w:rsidR="00494DCF" w:rsidRPr="00494DCF" w:rsidRDefault="00494DCF" w:rsidP="00494DCF">
            <w:pPr>
              <w:rPr>
                <w:rFonts w:ascii="Arial" w:hAnsi="Arial" w:cs="Arial"/>
                <w:sz w:val="24"/>
                <w:szCs w:val="24"/>
              </w:rPr>
            </w:pPr>
            <w:r w:rsidRPr="00494DCF">
              <w:rPr>
                <w:rFonts w:ascii="Arial" w:hAnsi="Arial" w:cs="Arial"/>
                <w:sz w:val="24"/>
                <w:szCs w:val="24"/>
              </w:rPr>
              <w:t>Assistant Chief Constable or Above</w:t>
            </w:r>
          </w:p>
        </w:tc>
        <w:tc>
          <w:tcPr>
            <w:tcW w:w="4508" w:type="dxa"/>
          </w:tcPr>
          <w:p w14:paraId="1488EE93" w14:textId="13FE7B6D" w:rsidR="00494DCF" w:rsidRPr="00494DCF" w:rsidRDefault="00494DCF" w:rsidP="00494DCF">
            <w:pPr>
              <w:rPr>
                <w:rFonts w:ascii="Arial" w:hAnsi="Arial" w:cs="Arial"/>
                <w:sz w:val="24"/>
                <w:szCs w:val="24"/>
              </w:rPr>
            </w:pPr>
            <w:r w:rsidRPr="00494DCF">
              <w:rPr>
                <w:rFonts w:ascii="Arial" w:hAnsi="Arial" w:cs="Arial"/>
                <w:sz w:val="24"/>
                <w:szCs w:val="24"/>
              </w:rPr>
              <w:t>Three months</w:t>
            </w:r>
          </w:p>
        </w:tc>
      </w:tr>
    </w:tbl>
    <w:p w14:paraId="2E9653C4" w14:textId="5CBAB022" w:rsidR="00494DCF" w:rsidRPr="00494DCF" w:rsidRDefault="00494DCF" w:rsidP="00494DCF">
      <w:r w:rsidRPr="00494DCF">
        <w:t>If you want to work a shorter notice period than outlined above, this must be authorised by a Head of Department/Divisional Commander and agreed prior to completion of the online resignation/retiral form. In the event this is not possible any amendments to a leaving date must be passed to People Direct.</w:t>
      </w:r>
    </w:p>
    <w:p w14:paraId="20B14484" w14:textId="275E878E" w:rsidR="00167046" w:rsidRDefault="00494DCF" w:rsidP="00932FFC">
      <w:pPr>
        <w:pStyle w:val="Heading3"/>
        <w:ind w:left="794" w:hanging="794"/>
      </w:pPr>
      <w:bookmarkStart w:id="9" w:name="_Toc137651101"/>
      <w:r>
        <w:t>Withdrawing your resignation</w:t>
      </w:r>
      <w:bookmarkEnd w:id="9"/>
    </w:p>
    <w:p w14:paraId="4B9E3712" w14:textId="78A8CB23" w:rsidR="00167046" w:rsidRDefault="00494DCF" w:rsidP="005F0AF9">
      <w:r w:rsidRPr="00494DCF">
        <w:t xml:space="preserve">In most cases, you cannot withdraw your resignation </w:t>
      </w:r>
      <w:r w:rsidR="001B79F8">
        <w:t xml:space="preserve">or retirement </w:t>
      </w:r>
      <w:r w:rsidRPr="00494DCF">
        <w:t>once it has been accepted. If you want to withdraw your resignation</w:t>
      </w:r>
      <w:r w:rsidR="001B79F8">
        <w:t>/retirement</w:t>
      </w:r>
      <w:r w:rsidRPr="00494DCF">
        <w:t>, police officers must write to the Superintendent, Resource Planning and Coordination Unit, as soon as possible. Authority/Police staff must write to their head of department. They will consider your request and inform you of the decision.</w:t>
      </w:r>
    </w:p>
    <w:p w14:paraId="1378C6FC" w14:textId="061EB851" w:rsidR="00494DCF" w:rsidRDefault="00494DCF" w:rsidP="00932FFC">
      <w:pPr>
        <w:pStyle w:val="Heading3"/>
        <w:ind w:left="794" w:hanging="794"/>
      </w:pPr>
      <w:bookmarkStart w:id="10" w:name="_Toc137651102"/>
      <w:r>
        <w:t>Uniform and equipment</w:t>
      </w:r>
      <w:bookmarkEnd w:id="10"/>
    </w:p>
    <w:p w14:paraId="1CD4ACCF" w14:textId="26DD2D25" w:rsidR="00494DCF" w:rsidRDefault="00494DCF" w:rsidP="00494DCF">
      <w:r w:rsidRPr="00494DCF">
        <w:t>You will need to return all uniform, equipment</w:t>
      </w:r>
      <w:r w:rsidR="00BA21F9">
        <w:t>,</w:t>
      </w:r>
      <w:r w:rsidRPr="00494DCF">
        <w:t xml:space="preserve"> and assets as close to </w:t>
      </w:r>
      <w:r w:rsidR="002C7049">
        <w:t>you</w:t>
      </w:r>
      <w:r w:rsidR="002C7049" w:rsidRPr="00494DCF">
        <w:t>r</w:t>
      </w:r>
      <w:r w:rsidRPr="00494DCF">
        <w:t xml:space="preserve"> leaving date as possible. You should return your ID and/or acces</w:t>
      </w:r>
      <w:r w:rsidR="009F2164">
        <w:t xml:space="preserve">s card along with </w:t>
      </w:r>
      <w:r w:rsidR="002B1AEA">
        <w:t xml:space="preserve">any </w:t>
      </w:r>
      <w:r w:rsidR="00D84309">
        <w:t xml:space="preserve">telematics or car club cards and </w:t>
      </w:r>
      <w:r w:rsidR="002B1AEA">
        <w:t>Police N</w:t>
      </w:r>
      <w:r w:rsidR="009F2164">
        <w:t>otebooks</w:t>
      </w:r>
      <w:r w:rsidRPr="00494DCF">
        <w:t xml:space="preserve"> to your line manager. </w:t>
      </w:r>
      <w:r w:rsidR="005610AE">
        <w:t>Sliders should be returned to your Business Support Unit</w:t>
      </w:r>
      <w:r w:rsidR="009F2164">
        <w:t>. A</w:t>
      </w:r>
      <w:r w:rsidRPr="00494DCF">
        <w:t xml:space="preserve">ll other uniform and equipment </w:t>
      </w:r>
      <w:r w:rsidR="009F2164">
        <w:t xml:space="preserve">should be </w:t>
      </w:r>
      <w:r w:rsidR="005610AE">
        <w:t xml:space="preserve">returned </w:t>
      </w:r>
      <w:r w:rsidRPr="00494DCF">
        <w:t xml:space="preserve">by completing </w:t>
      </w:r>
      <w:r w:rsidR="00D84309" w:rsidRPr="00D84309">
        <w:t>Form (111-002</w:t>
      </w:r>
      <w:r w:rsidR="00664703" w:rsidRPr="00D84309">
        <w:t>)</w:t>
      </w:r>
      <w:r w:rsidR="00664703">
        <w:t xml:space="preserve"> and</w:t>
      </w:r>
      <w:r w:rsidR="009F2164">
        <w:t xml:space="preserve"> </w:t>
      </w:r>
      <w:r w:rsidRPr="00494DCF">
        <w:t xml:space="preserve">making an appointment to go </w:t>
      </w:r>
      <w:r w:rsidRPr="00494DCF">
        <w:lastRenderedPageBreak/>
        <w:t>to your local Stores. Those who are unable to attend Stores in person should return the form with their uniform and equipment in line with local arrangements.</w:t>
      </w:r>
    </w:p>
    <w:p w14:paraId="38BEDDB0" w14:textId="24CAD583" w:rsidR="00920968" w:rsidRPr="00920968" w:rsidRDefault="009F2164" w:rsidP="00920968">
      <w:r>
        <w:t xml:space="preserve">If you have been provided reasonable adjustments in the form of equipment or tools, you </w:t>
      </w:r>
      <w:r w:rsidR="00D84309">
        <w:t>must</w:t>
      </w:r>
      <w:r>
        <w:t xml:space="preserve"> email </w:t>
      </w:r>
      <w:r w:rsidR="00583520" w:rsidRPr="00583520">
        <w:rPr>
          <w:b/>
          <w:bCs/>
        </w:rPr>
        <w:t>[REDACTED]</w:t>
      </w:r>
      <w:r w:rsidR="00583520">
        <w:t xml:space="preserve"> </w:t>
      </w:r>
      <w:r>
        <w:t>with details of the equipment and its location.</w:t>
      </w:r>
    </w:p>
    <w:p w14:paraId="22946FD4" w14:textId="77777777" w:rsidR="00932FFC" w:rsidRPr="00932FFC" w:rsidRDefault="00932FFC" w:rsidP="00932FFC">
      <w:pPr>
        <w:pStyle w:val="Heading3"/>
        <w:ind w:left="794" w:hanging="794"/>
      </w:pPr>
      <w:bookmarkStart w:id="11" w:name="_Toc137651103"/>
      <w:r w:rsidRPr="00932FFC">
        <w:t>Exit interview/survey</w:t>
      </w:r>
      <w:bookmarkEnd w:id="11"/>
    </w:p>
    <w:p w14:paraId="12269927" w14:textId="560395AD" w:rsidR="001B79F8" w:rsidRDefault="00932FFC" w:rsidP="00BA21F9">
      <w:r>
        <w:t>An exit interview will be carried out by a suitable manager, usually the Area Commander/Head of Department. You can be accompanied to this interview if you want.</w:t>
      </w:r>
    </w:p>
    <w:p w14:paraId="326C228A" w14:textId="507E3561" w:rsidR="00494DCF" w:rsidRDefault="00FD2A5B" w:rsidP="00BA21F9">
      <w:r>
        <w:t>In addition</w:t>
      </w:r>
      <w:r w:rsidR="001B79F8">
        <w:t>,</w:t>
      </w:r>
      <w:r>
        <w:t xml:space="preserve"> a</w:t>
      </w:r>
      <w:r w:rsidR="00AB046B">
        <w:t>n</w:t>
      </w:r>
      <w:r w:rsidR="00BA21F9">
        <w:t xml:space="preserve"> exit survey will </w:t>
      </w:r>
      <w:r w:rsidR="00AB046B">
        <w:t xml:space="preserve">also </w:t>
      </w:r>
      <w:r w:rsidR="00BA21F9">
        <w:t xml:space="preserve">be sent to an email address of your choice </w:t>
      </w:r>
      <w:r w:rsidR="00A46FA3">
        <w:t>by our Shared Services Team</w:t>
      </w:r>
      <w:r w:rsidR="00BA21F9">
        <w:t xml:space="preserve">. A hard copy is available if you need it and you can tell us your preference when you submit the </w:t>
      </w:r>
      <w:r w:rsidR="00BA21F9" w:rsidRPr="00583520">
        <w:t>Resignation/Retiral form.</w:t>
      </w:r>
    </w:p>
    <w:p w14:paraId="5B383698" w14:textId="5CF4BFD7" w:rsidR="00BA21F9" w:rsidRDefault="00021981" w:rsidP="00932FFC">
      <w:pPr>
        <w:pStyle w:val="Heading3"/>
        <w:ind w:left="794" w:hanging="794"/>
      </w:pPr>
      <w:bookmarkStart w:id="12" w:name="_Toc137651104"/>
      <w:r>
        <w:t>Officer retiral</w:t>
      </w:r>
      <w:bookmarkEnd w:id="12"/>
      <w:r w:rsidR="00BA21F9">
        <w:t xml:space="preserve"> </w:t>
      </w:r>
    </w:p>
    <w:p w14:paraId="29842215" w14:textId="7B843607" w:rsidR="00564355" w:rsidRDefault="00564355" w:rsidP="00564355">
      <w:r>
        <w:t>The normal pension age in the 2015 Police Pension Scheme is age 60, however you are entitled to receive an immediate Police pension from age 55, reduced for early payment.</w:t>
      </w:r>
    </w:p>
    <w:p w14:paraId="53732455" w14:textId="3EB08D6B" w:rsidR="00564355" w:rsidRDefault="00564355" w:rsidP="00564355">
      <w:r>
        <w:t>If you are an active member of the 2015 scheme and have previous membership in the 2006 Police Pension Scheme, these benefits are also payable from age 55.</w:t>
      </w:r>
    </w:p>
    <w:p w14:paraId="26C3B7B4" w14:textId="00377AAB" w:rsidR="00564355" w:rsidRDefault="00564355" w:rsidP="00564355">
      <w:r>
        <w:t xml:space="preserve">If you are an active member of the 2015 scheme and have previous membership in the 1987 Police Pension Scheme, you may be able to access these benefits earlier than age 55, dependent on your age, </w:t>
      </w:r>
      <w:r w:rsidR="00932FFC">
        <w:t>service,</w:t>
      </w:r>
      <w:r>
        <w:t xml:space="preserve"> and rank.</w:t>
      </w:r>
    </w:p>
    <w:p w14:paraId="71D81DF5" w14:textId="3D6B2BC4" w:rsidR="0048446F" w:rsidRDefault="00564355" w:rsidP="00564355">
      <w:r>
        <w:t>We do not automatically process your retirement based on your retirement age or length of service as there is no Compulsory Retirement Age within the 2015 Police Pension Regulations.</w:t>
      </w:r>
      <w:r w:rsidR="0048446F">
        <w:rPr>
          <w:rFonts w:ascii="Segoe UI" w:hAnsi="Segoe UI" w:cs="Segoe UI"/>
          <w:color w:val="000000"/>
          <w:sz w:val="27"/>
          <w:szCs w:val="27"/>
        </w:rPr>
        <w:t> </w:t>
      </w:r>
      <w:r w:rsidR="00BA21F9">
        <w:t xml:space="preserve"> </w:t>
      </w:r>
    </w:p>
    <w:p w14:paraId="6CB703C3" w14:textId="06FC8582" w:rsidR="0048446F" w:rsidRDefault="0048446F" w:rsidP="0048446F">
      <w:r>
        <w:t>You must </w:t>
      </w:r>
      <w:r w:rsidR="00C93647">
        <w:t>tell</w:t>
      </w:r>
      <w:r>
        <w:t xml:space="preserve"> us </w:t>
      </w:r>
      <w:r w:rsidR="00C93647">
        <w:t>that you intend</w:t>
      </w:r>
      <w:r>
        <w:t xml:space="preserve"> to </w:t>
      </w:r>
      <w:r w:rsidR="00932FFC">
        <w:t>retire and</w:t>
      </w:r>
      <w:r w:rsidR="006E26A4">
        <w:t xml:space="preserve"> may w</w:t>
      </w:r>
      <w:r w:rsidR="00A46FA3">
        <w:t>ant</w:t>
      </w:r>
      <w:r w:rsidR="006E26A4">
        <w:t xml:space="preserve"> to </w:t>
      </w:r>
      <w:r>
        <w:t xml:space="preserve">discuss your pension entitlement with the Scottish Public Pensions Authority (SPPA) before you submit </w:t>
      </w:r>
      <w:r>
        <w:lastRenderedPageBreak/>
        <w:t>your notice.  Ideally this should be submitted at least three months before your retirement.</w:t>
      </w:r>
    </w:p>
    <w:p w14:paraId="41A45FC0" w14:textId="77777777" w:rsidR="00615BA1" w:rsidRDefault="00615BA1" w:rsidP="00932FFC">
      <w:pPr>
        <w:pStyle w:val="Heading3"/>
        <w:ind w:left="794" w:hanging="794"/>
      </w:pPr>
      <w:bookmarkStart w:id="13" w:name="_Toc137651105"/>
      <w:r>
        <w:t>Staff retiral</w:t>
      </w:r>
      <w:bookmarkEnd w:id="13"/>
    </w:p>
    <w:p w14:paraId="7B475976" w14:textId="4E475AB0" w:rsidR="00615BA1" w:rsidRDefault="001107B3" w:rsidP="00615BA1">
      <w:r>
        <w:t>The Local Government Pension Scheme is usually payable to members f</w:t>
      </w:r>
      <w:r w:rsidR="006D4AF7">
        <w:t>ro</w:t>
      </w:r>
      <w:r>
        <w:t>m Normal Pension Age which is linked to your State Pension Age.</w:t>
      </w:r>
      <w:r w:rsidRPr="001107B3">
        <w:t xml:space="preserve"> </w:t>
      </w:r>
      <w:r>
        <w:t>Y</w:t>
      </w:r>
      <w:r w:rsidRPr="001107B3">
        <w:t xml:space="preserve">ou can choose to retire and take your pension at any time between age 55 and 75. If you choose to take your pension before your Normal Pension Age it will normally be reduced, as it’s being paid earlier. If you take it later than your Normal Pension </w:t>
      </w:r>
      <w:r w:rsidR="00752E0C" w:rsidRPr="001107B3">
        <w:t>Age,</w:t>
      </w:r>
      <w:r w:rsidRPr="001107B3">
        <w:t xml:space="preserve"> it will be increased because it’s being paid later.</w:t>
      </w:r>
    </w:p>
    <w:p w14:paraId="418D4441" w14:textId="7379BC11" w:rsidR="001107B3" w:rsidRPr="00615BA1" w:rsidRDefault="001107B3" w:rsidP="00615BA1">
      <w:r w:rsidRPr="001107B3">
        <w:t xml:space="preserve">If you are made redundant or retired in the interests of business efficiency when you are 55 or over (or, in some cases, 50 or over), you will receive immediate payment of the pension you have built up – providing you have met the </w:t>
      </w:r>
      <w:r w:rsidR="00752E0C" w:rsidRPr="001107B3">
        <w:t>two-year</w:t>
      </w:r>
      <w:r w:rsidRPr="001107B3">
        <w:t xml:space="preserve"> vesting period.</w:t>
      </w:r>
      <w:r>
        <w:t xml:space="preserve"> More detail on </w:t>
      </w:r>
      <w:r w:rsidRPr="001107B3">
        <w:t>Voluntary Redundancy (VR) and Voluntary Early Retirement (VER)</w:t>
      </w:r>
      <w:r>
        <w:t xml:space="preserve"> are available on </w:t>
      </w:r>
      <w:r w:rsidRPr="00583520">
        <w:t>our dedicated Intranet pages</w:t>
      </w:r>
      <w:r>
        <w:t>.</w:t>
      </w:r>
    </w:p>
    <w:p w14:paraId="08DDCB4F" w14:textId="59FA2117" w:rsidR="00BA21F9" w:rsidRDefault="00BA21F9" w:rsidP="00932FFC">
      <w:pPr>
        <w:pStyle w:val="Heading3"/>
        <w:ind w:left="794" w:hanging="794"/>
      </w:pPr>
      <w:bookmarkStart w:id="14" w:name="_Toc137651106"/>
      <w:r>
        <w:t>Flexible retirement (Staff only)</w:t>
      </w:r>
      <w:bookmarkEnd w:id="14"/>
    </w:p>
    <w:p w14:paraId="13E9BD41" w14:textId="57FDBA29" w:rsidR="00681582" w:rsidRDefault="00CA77A6" w:rsidP="002C2CD5">
      <w:r>
        <w:t>The Scottish P</w:t>
      </w:r>
      <w:r w:rsidR="00681582">
        <w:t xml:space="preserve">olice Authority does not have a general policy of exercising its discretion to allow </w:t>
      </w:r>
      <w:r w:rsidR="00681582" w:rsidRPr="00BA21F9">
        <w:t>member</w:t>
      </w:r>
      <w:r w:rsidR="00681582">
        <w:t>s</w:t>
      </w:r>
      <w:r w:rsidR="00681582" w:rsidRPr="00BA21F9">
        <w:t xml:space="preserve"> of the Local Government Pension Scheme (LGPS)</w:t>
      </w:r>
      <w:r w:rsidR="00681582">
        <w:t xml:space="preserve"> </w:t>
      </w:r>
      <w:r w:rsidR="00681582" w:rsidRPr="00681582">
        <w:t xml:space="preserve">to reduce </w:t>
      </w:r>
      <w:r w:rsidR="00681582">
        <w:t xml:space="preserve">grade or </w:t>
      </w:r>
      <w:r w:rsidR="00681582" w:rsidRPr="00681582">
        <w:t xml:space="preserve">working </w:t>
      </w:r>
      <w:r w:rsidR="00932FFC" w:rsidRPr="00681582">
        <w:t>hours</w:t>
      </w:r>
      <w:r w:rsidR="00932FFC">
        <w:t xml:space="preserve"> and</w:t>
      </w:r>
      <w:r w:rsidR="00681582" w:rsidRPr="00681582">
        <w:t xml:space="preserve"> draw some or </w:t>
      </w:r>
      <w:r w:rsidR="00752E0C" w:rsidRPr="00681582">
        <w:t>all</w:t>
      </w:r>
      <w:r w:rsidR="00681582" w:rsidRPr="00681582">
        <w:t xml:space="preserve"> </w:t>
      </w:r>
      <w:r w:rsidR="00681582">
        <w:t>their</w:t>
      </w:r>
      <w:r w:rsidR="00681582" w:rsidRPr="00681582">
        <w:t xml:space="preserve"> pension at the same time.</w:t>
      </w:r>
      <w:r w:rsidR="00681582">
        <w:t xml:space="preserve"> However, it may exercise this discretion where a business case </w:t>
      </w:r>
      <w:r w:rsidR="002C2CD5">
        <w:t>shows it is part of a planned strategy for reducing the workforce and is endorsed by the departmental budget holder. All requests will be considered</w:t>
      </w:r>
      <w:r w:rsidR="0011747B">
        <w:t>,</w:t>
      </w:r>
      <w:r w:rsidR="002C2CD5">
        <w:t xml:space="preserve"> but they will not be agreed unless there is a clear business case that it is in the interests of the efficient delivery of the service. There is no right of appeal against decisions not to grant flexible retirement.</w:t>
      </w:r>
    </w:p>
    <w:p w14:paraId="322C9080" w14:textId="1C44CBD0" w:rsidR="00681582" w:rsidRDefault="002C2CD5" w:rsidP="00D215DD">
      <w:r>
        <w:t>It should be noted that p</w:t>
      </w:r>
      <w:r w:rsidR="000D2E2E">
        <w:t xml:space="preserve">rocesses around flexible retirement can be </w:t>
      </w:r>
      <w:r w:rsidR="00932FFC">
        <w:t>lengthy,</w:t>
      </w:r>
      <w:r w:rsidR="000D2E2E">
        <w:t xml:space="preserve"> and a</w:t>
      </w:r>
      <w:r w:rsidR="00D215DD">
        <w:t xml:space="preserve">pplications must be made using form </w:t>
      </w:r>
      <w:r w:rsidR="00D215DD" w:rsidRPr="001B79F8">
        <w:t>(</w:t>
      </w:r>
      <w:r w:rsidR="001B79F8" w:rsidRPr="001B79F8">
        <w:t>122-005</w:t>
      </w:r>
      <w:r w:rsidR="00D215DD" w:rsidRPr="001B79F8">
        <w:t>)</w:t>
      </w:r>
      <w:r w:rsidR="0011747B">
        <w:t xml:space="preserve"> </w:t>
      </w:r>
      <w:r w:rsidR="00D215DD" w:rsidRPr="00013C7F">
        <w:t xml:space="preserve">at least six months before </w:t>
      </w:r>
      <w:r w:rsidR="00D215DD">
        <w:t>any</w:t>
      </w:r>
      <w:r w:rsidR="00D215DD" w:rsidRPr="00013C7F">
        <w:t xml:space="preserve"> </w:t>
      </w:r>
      <w:r w:rsidR="004D7E44">
        <w:t>implementation of flexible</w:t>
      </w:r>
      <w:r w:rsidR="00D215DD" w:rsidRPr="00013C7F">
        <w:t xml:space="preserve"> retirement date</w:t>
      </w:r>
      <w:r w:rsidR="000D2E2E">
        <w:t xml:space="preserve">. </w:t>
      </w:r>
      <w:r>
        <w:t xml:space="preserve">To obtain </w:t>
      </w:r>
      <w:r w:rsidRPr="00BA21F9">
        <w:t>estimates</w:t>
      </w:r>
      <w:r>
        <w:t xml:space="preserve"> from your local pension provider please contact</w:t>
      </w:r>
      <w:r w:rsidRPr="00BA21F9">
        <w:t xml:space="preserve"> </w:t>
      </w:r>
      <w:r>
        <w:t>People Direct.</w:t>
      </w:r>
      <w:r w:rsidR="000A5ACA">
        <w:t xml:space="preserve"> Further information of flexible </w:t>
      </w:r>
      <w:r w:rsidR="000A5ACA">
        <w:lastRenderedPageBreak/>
        <w:t xml:space="preserve">retirement is available on the </w:t>
      </w:r>
      <w:hyperlink r:id="rId14" w:anchor="the-85-year-rule" w:history="1">
        <w:r w:rsidR="000A5ACA" w:rsidRPr="00F15D4C">
          <w:rPr>
            <w:rStyle w:val="Hyperlink"/>
          </w:rPr>
          <w:t>Local Government Pension Scheme in Scotland website</w:t>
        </w:r>
      </w:hyperlink>
      <w:r w:rsidR="000A5ACA">
        <w:t>.</w:t>
      </w:r>
    </w:p>
    <w:p w14:paraId="1B966A3C" w14:textId="6FB90960" w:rsidR="00BA21F9" w:rsidRDefault="00BA21F9" w:rsidP="00932FFC">
      <w:pPr>
        <w:pStyle w:val="Heading3"/>
        <w:ind w:left="794" w:hanging="794"/>
      </w:pPr>
      <w:bookmarkStart w:id="15" w:name="_Toc137651107"/>
      <w:r>
        <w:t>Rule of 85 (Staff only)</w:t>
      </w:r>
      <w:bookmarkEnd w:id="15"/>
    </w:p>
    <w:p w14:paraId="5DC5E3B2" w14:textId="025C26B9" w:rsidR="001F498A" w:rsidRDefault="00BA21F9" w:rsidP="007F7D73">
      <w:r w:rsidRPr="00BA21F9">
        <w:t xml:space="preserve">If you were a member of the LGPS on or before 30 November 2006, you may be able to retire earlier than age </w:t>
      </w:r>
      <w:r w:rsidR="00932FFC" w:rsidRPr="00BA21F9">
        <w:t>65</w:t>
      </w:r>
      <w:r w:rsidR="00932FFC">
        <w:t xml:space="preserve"> and</w:t>
      </w:r>
      <w:r w:rsidRPr="00BA21F9">
        <w:t xml:space="preserve"> receive your pension and/or lump sum in full. </w:t>
      </w:r>
      <w:r w:rsidR="006124A9">
        <w:t>The SPA</w:t>
      </w:r>
      <w:r w:rsidR="006124A9" w:rsidRPr="006124A9">
        <w:t xml:space="preserve"> </w:t>
      </w:r>
      <w:r w:rsidR="00752E0C" w:rsidRPr="006124A9">
        <w:t>needs</w:t>
      </w:r>
      <w:r w:rsidR="006124A9" w:rsidRPr="006124A9">
        <w:t xml:space="preserve"> to agree to </w:t>
      </w:r>
      <w:r w:rsidR="006124A9">
        <w:t>retirement before age 60</w:t>
      </w:r>
      <w:r w:rsidR="00D6576A">
        <w:t xml:space="preserve">. </w:t>
      </w:r>
      <w:r w:rsidR="006124A9" w:rsidRPr="006124A9">
        <w:t>You should contact your LGPS fund directly for guidance on the application of the rule of 85 to your own circumstances.</w:t>
      </w:r>
      <w:r w:rsidR="001F498A">
        <w:t xml:space="preserve"> </w:t>
      </w:r>
      <w:r w:rsidR="001F498A" w:rsidRPr="00BA21F9">
        <w:t>Further information</w:t>
      </w:r>
      <w:r w:rsidR="001F498A">
        <w:t xml:space="preserve"> on Rule of 85 is available on the </w:t>
      </w:r>
      <w:hyperlink r:id="rId15" w:anchor="the-85-year-rule" w:history="1">
        <w:r w:rsidR="001F498A" w:rsidRPr="00F15D4C">
          <w:rPr>
            <w:rStyle w:val="Hyperlink"/>
          </w:rPr>
          <w:t>Local Government Pension Scheme in Scotland website</w:t>
        </w:r>
      </w:hyperlink>
      <w:r w:rsidR="001F498A">
        <w:t>.</w:t>
      </w:r>
    </w:p>
    <w:p w14:paraId="705ADE27" w14:textId="6C8B1FE9" w:rsidR="000464A8" w:rsidRDefault="00D6576A" w:rsidP="000464A8">
      <w:r>
        <w:t>T</w:t>
      </w:r>
      <w:r w:rsidRPr="001F498A">
        <w:t>o obtain estimates from your local pension provid</w:t>
      </w:r>
      <w:r>
        <w:t>er please contact People Direct in the first instance</w:t>
      </w:r>
      <w:r w:rsidRPr="00BA21F9">
        <w:t>.</w:t>
      </w:r>
    </w:p>
    <w:p w14:paraId="34AC09ED" w14:textId="1F8FF29B" w:rsidR="00BA21F9" w:rsidRDefault="00D6576A" w:rsidP="00932FFC">
      <w:pPr>
        <w:pStyle w:val="Heading3"/>
        <w:ind w:left="794" w:hanging="794"/>
      </w:pPr>
      <w:bookmarkStart w:id="16" w:name="_Toc137651108"/>
      <w:r>
        <w:t>Ill health</w:t>
      </w:r>
      <w:r w:rsidR="00BA21F9">
        <w:t xml:space="preserve"> retirement</w:t>
      </w:r>
      <w:bookmarkEnd w:id="16"/>
    </w:p>
    <w:p w14:paraId="305DB654" w14:textId="242F94F2" w:rsidR="00CA77E9" w:rsidRDefault="00BA21F9" w:rsidP="00CA77E9">
      <w:r w:rsidRPr="00BA21F9">
        <w:t xml:space="preserve">If you are found by a medical expert to be permanently disabled and unable to do your role, we may decide to retire you on medical grounds. </w:t>
      </w:r>
      <w:r w:rsidR="00D6576A" w:rsidRPr="00D6576A">
        <w:t>Redeployment, in line with skills, qualifications, experience and reasonable adjustments will be considered before we do this</w:t>
      </w:r>
      <w:r w:rsidRPr="00BA21F9">
        <w:t>.</w:t>
      </w:r>
    </w:p>
    <w:p w14:paraId="55597AC0" w14:textId="2B8F37D5" w:rsidR="001B5DF4" w:rsidRDefault="00BA21F9" w:rsidP="00932FFC">
      <w:pPr>
        <w:pStyle w:val="Heading3"/>
        <w:ind w:left="794" w:hanging="794"/>
      </w:pPr>
      <w:bookmarkStart w:id="17" w:name="_Toc137651109"/>
      <w:r>
        <w:t>References</w:t>
      </w:r>
      <w:bookmarkEnd w:id="17"/>
    </w:p>
    <w:p w14:paraId="3F293FC9" w14:textId="12F3C6D0" w:rsidR="001B5DF4" w:rsidRDefault="001B5DF4" w:rsidP="001B5DF4">
      <w:r w:rsidRPr="001B5DF4">
        <w:t>You should contact People Direct to request a reference. Future employers can email Peopledirect@scotland.police.uk with requests. We will provide standard factual reference</w:t>
      </w:r>
      <w:r w:rsidR="00961582">
        <w:t>s</w:t>
      </w:r>
      <w:r w:rsidRPr="001B5DF4">
        <w:t xml:space="preserve"> </w:t>
      </w:r>
      <w:r w:rsidR="00174868" w:rsidRPr="00174868">
        <w:t>confirm</w:t>
      </w:r>
      <w:r w:rsidR="008B5036">
        <w:t>ing</w:t>
      </w:r>
      <w:r w:rsidR="00174868" w:rsidRPr="00174868">
        <w:t xml:space="preserve"> dates of service and job title</w:t>
      </w:r>
      <w:r w:rsidRPr="001B5DF4">
        <w:t>.</w:t>
      </w:r>
    </w:p>
    <w:p w14:paraId="28B1CCAE" w14:textId="77777777" w:rsidR="00752E0C" w:rsidRDefault="00752E0C">
      <w:pPr>
        <w:spacing w:after="0"/>
        <w:ind w:firstLine="340"/>
        <w:rPr>
          <w:rFonts w:ascii="Arial Bold" w:eastAsiaTheme="majorEastAsia" w:hAnsi="Arial Bold" w:cstheme="majorBidi"/>
          <w:b/>
          <w:sz w:val="28"/>
          <w:szCs w:val="26"/>
        </w:rPr>
      </w:pPr>
      <w:r>
        <w:br w:type="page"/>
      </w:r>
    </w:p>
    <w:p w14:paraId="08846D68" w14:textId="30542F92" w:rsidR="00BA21F9" w:rsidRDefault="00BA21F9" w:rsidP="00932FFC">
      <w:pPr>
        <w:pStyle w:val="Heading3"/>
        <w:ind w:left="794" w:hanging="794"/>
      </w:pPr>
      <w:bookmarkStart w:id="18" w:name="_Toc137651110"/>
      <w:r>
        <w:lastRenderedPageBreak/>
        <w:t>Attending court after leaving</w:t>
      </w:r>
      <w:bookmarkEnd w:id="18"/>
    </w:p>
    <w:p w14:paraId="63D437D1" w14:textId="1ABDCD07" w:rsidR="00E44967" w:rsidRDefault="00BA21F9" w:rsidP="00BA21F9">
      <w:r w:rsidRPr="00BA21F9">
        <w:t xml:space="preserve">If you </w:t>
      </w:r>
      <w:r w:rsidR="00752E0C" w:rsidRPr="00BA21F9">
        <w:t>must</w:t>
      </w:r>
      <w:r w:rsidRPr="00BA21F9">
        <w:t xml:space="preserve"> attend court </w:t>
      </w:r>
      <w:r w:rsidR="00752E0C" w:rsidRPr="00BA21F9">
        <w:t>because of</w:t>
      </w:r>
      <w:r w:rsidRPr="00BA21F9">
        <w:t xml:space="preserve"> working with us, </w:t>
      </w:r>
      <w:r w:rsidR="001F498A">
        <w:t>we</w:t>
      </w:r>
      <w:r w:rsidR="00E44967">
        <w:t xml:space="preserve"> will pay</w:t>
      </w:r>
      <w:r w:rsidRPr="00BA21F9">
        <w:t xml:space="preserve"> any reasonable expenses incurred for up to six months after your leaving date. After six months the </w:t>
      </w:r>
      <w:r w:rsidR="00D6576A">
        <w:t xml:space="preserve">Crown Office and </w:t>
      </w:r>
      <w:r w:rsidRPr="00BA21F9">
        <w:t xml:space="preserve">Procurator Fiscal </w:t>
      </w:r>
      <w:r w:rsidR="00F15D4C">
        <w:t xml:space="preserve">Service (COPFS) </w:t>
      </w:r>
      <w:r w:rsidRPr="00BA21F9">
        <w:t xml:space="preserve">will pay. You should contact your Business </w:t>
      </w:r>
      <w:r w:rsidR="00CC7777">
        <w:t xml:space="preserve">Support </w:t>
      </w:r>
      <w:r w:rsidR="00147CCB">
        <w:t>Unit</w:t>
      </w:r>
      <w:r w:rsidR="003972AF">
        <w:t xml:space="preserve"> or equivalent</w:t>
      </w:r>
      <w:r w:rsidR="00147CCB">
        <w:t>, if you have one</w:t>
      </w:r>
      <w:r w:rsidRPr="00BA21F9">
        <w:t xml:space="preserve"> prior to making any travel arrangements for court dates</w:t>
      </w:r>
      <w:r w:rsidR="00147CCB">
        <w:t>,</w:t>
      </w:r>
      <w:r w:rsidRPr="00BA21F9">
        <w:t xml:space="preserve"> or your line manager if you do not.</w:t>
      </w:r>
      <w:r w:rsidR="00047AC0">
        <w:t xml:space="preserve"> </w:t>
      </w:r>
    </w:p>
    <w:p w14:paraId="65638411" w14:textId="3DE5747C" w:rsidR="00BA21F9" w:rsidRDefault="00752E0C" w:rsidP="00BA21F9">
      <w:r>
        <w:t>To</w:t>
      </w:r>
      <w:r w:rsidR="00047AC0">
        <w:t xml:space="preserve"> make a claim you must provide a copy of your citation, proof of expenditure and your bank details so that payment can be made.</w:t>
      </w:r>
    </w:p>
    <w:p w14:paraId="7FDD593F" w14:textId="3751156A" w:rsidR="000842CB" w:rsidRDefault="000842CB" w:rsidP="00BA21F9">
      <w:r>
        <w:t>Loss of earnings is not a reasonable expense</w:t>
      </w:r>
      <w:r w:rsidR="00757C92">
        <w:t>,</w:t>
      </w:r>
      <w:r>
        <w:t xml:space="preserve"> and a</w:t>
      </w:r>
      <w:r w:rsidR="00757C92">
        <w:t>ny claim</w:t>
      </w:r>
      <w:r>
        <w:t xml:space="preserve"> for lost earnings must be made through the court service.</w:t>
      </w:r>
    </w:p>
    <w:p w14:paraId="27E3840C" w14:textId="77777777" w:rsidR="00BA21F9" w:rsidRPr="00390927" w:rsidRDefault="00BA21F9" w:rsidP="00390927"/>
    <w:p w14:paraId="677FA1F4" w14:textId="77777777" w:rsidR="00390927" w:rsidRDefault="00390927" w:rsidP="00390927">
      <w:r w:rsidRPr="00390927">
        <w:br w:type="page"/>
      </w:r>
    </w:p>
    <w:p w14:paraId="75640D6E" w14:textId="30527C84" w:rsidR="00B15959" w:rsidRDefault="00B15959" w:rsidP="00DE77F5">
      <w:pPr>
        <w:pStyle w:val="Heading2"/>
      </w:pPr>
      <w:bookmarkStart w:id="19" w:name="_Toc137651111"/>
      <w:r w:rsidRPr="005D0111">
        <w:lastRenderedPageBreak/>
        <w:t>Manager</w:t>
      </w:r>
      <w:bookmarkEnd w:id="19"/>
    </w:p>
    <w:p w14:paraId="47C94D65" w14:textId="55D1C3A5" w:rsidR="004612C5" w:rsidRDefault="00B15959" w:rsidP="00932FFC">
      <w:pPr>
        <w:pStyle w:val="Heading3"/>
        <w:ind w:left="794" w:hanging="794"/>
      </w:pPr>
      <w:bookmarkStart w:id="20" w:name="_Toc137651112"/>
      <w:r>
        <w:t xml:space="preserve">What </w:t>
      </w:r>
      <w:r w:rsidR="001C4625">
        <w:t>you need to do</w:t>
      </w:r>
      <w:r w:rsidR="00B8536A">
        <w:t>:</w:t>
      </w:r>
      <w:bookmarkEnd w:id="20"/>
    </w:p>
    <w:p w14:paraId="07576B79" w14:textId="0C976050" w:rsidR="00171FDE" w:rsidRDefault="00171FDE" w:rsidP="006C3AE2">
      <w:pPr>
        <w:pStyle w:val="ListParagraph"/>
        <w:numPr>
          <w:ilvl w:val="0"/>
          <w:numId w:val="7"/>
        </w:numPr>
      </w:pPr>
      <w:r>
        <w:t>Talk to your team member abou</w:t>
      </w:r>
      <w:r w:rsidR="00F15D4C">
        <w:t>t their resignation/retiral</w:t>
      </w:r>
      <w:r w:rsidR="00A4325A">
        <w:t xml:space="preserve"> exploring any underlying reason and whether </w:t>
      </w:r>
      <w:r w:rsidR="00A54791">
        <w:t>solutions or alternatives</w:t>
      </w:r>
      <w:r w:rsidR="00A4325A">
        <w:t xml:space="preserve"> exist.</w:t>
      </w:r>
    </w:p>
    <w:p w14:paraId="02F1D306" w14:textId="7EF7EBE3" w:rsidR="00A54A7D" w:rsidRDefault="00A54A7D" w:rsidP="006C3AE2">
      <w:pPr>
        <w:pStyle w:val="ListParagraph"/>
        <w:numPr>
          <w:ilvl w:val="0"/>
          <w:numId w:val="7"/>
        </w:numPr>
      </w:pPr>
      <w:r>
        <w:t>C</w:t>
      </w:r>
      <w:r w:rsidRPr="00A54A7D">
        <w:t xml:space="preserve">heck all outstanding balances to ensure that these are taken before </w:t>
      </w:r>
      <w:r>
        <w:t>the last day of service</w:t>
      </w:r>
      <w:r w:rsidRPr="00A54A7D">
        <w:t>.</w:t>
      </w:r>
    </w:p>
    <w:p w14:paraId="29A82DFC" w14:textId="0D291025" w:rsidR="00171FDE" w:rsidRDefault="00171FDE" w:rsidP="006C3AE2">
      <w:pPr>
        <w:pStyle w:val="ListParagraph"/>
        <w:numPr>
          <w:ilvl w:val="0"/>
          <w:numId w:val="7"/>
        </w:numPr>
      </w:pPr>
      <w:r w:rsidRPr="00583520">
        <w:t>Complete all SCoPE administration</w:t>
      </w:r>
      <w:r>
        <w:t xml:space="preserve"> such as, overtime claims, accident forms, return to work interviews, appraisals etc.</w:t>
      </w:r>
    </w:p>
    <w:p w14:paraId="340EE06E" w14:textId="7123941D" w:rsidR="008F5CE1" w:rsidRDefault="00171FDE" w:rsidP="006C3AE2">
      <w:pPr>
        <w:pStyle w:val="ListParagraph"/>
        <w:numPr>
          <w:ilvl w:val="0"/>
          <w:numId w:val="7"/>
        </w:numPr>
      </w:pPr>
      <w:r>
        <w:t xml:space="preserve">Ensure that all uniform, </w:t>
      </w:r>
      <w:r w:rsidR="00752E0C">
        <w:t>equipment,</w:t>
      </w:r>
      <w:r>
        <w:t xml:space="preserve"> and assets </w:t>
      </w:r>
      <w:r w:rsidR="008F5CE1">
        <w:t>have been returned including:</w:t>
      </w:r>
    </w:p>
    <w:p w14:paraId="6D0EA6D0" w14:textId="51688682" w:rsidR="008F5CE1" w:rsidRDefault="00C802AA" w:rsidP="006C3AE2">
      <w:pPr>
        <w:pStyle w:val="ListParagraph"/>
        <w:numPr>
          <w:ilvl w:val="1"/>
          <w:numId w:val="7"/>
        </w:numPr>
      </w:pPr>
      <w:r>
        <w:t xml:space="preserve">Police </w:t>
      </w:r>
      <w:r w:rsidR="00CC7777">
        <w:t>Notebooks</w:t>
      </w:r>
    </w:p>
    <w:p w14:paraId="4A2D92E7" w14:textId="7D5BEC89" w:rsidR="00A54A7D" w:rsidRDefault="00A54A7D" w:rsidP="006C3AE2">
      <w:pPr>
        <w:pStyle w:val="ListParagraph"/>
        <w:numPr>
          <w:ilvl w:val="1"/>
          <w:numId w:val="7"/>
        </w:numPr>
      </w:pPr>
      <w:r>
        <w:t>Mobile devices</w:t>
      </w:r>
    </w:p>
    <w:p w14:paraId="2A97DE73" w14:textId="1A616CBB" w:rsidR="008F5CE1" w:rsidRDefault="00171FDE" w:rsidP="006C3AE2">
      <w:pPr>
        <w:pStyle w:val="ListParagraph"/>
        <w:numPr>
          <w:ilvl w:val="1"/>
          <w:numId w:val="7"/>
        </w:numPr>
      </w:pPr>
      <w:r>
        <w:t xml:space="preserve">ID </w:t>
      </w:r>
      <w:r w:rsidR="00F15D4C">
        <w:t>and/</w:t>
      </w:r>
      <w:r>
        <w:t>or access cards (including Enter</w:t>
      </w:r>
      <w:r w:rsidR="008F5CE1">
        <w:t>prise Car Club membership card)</w:t>
      </w:r>
    </w:p>
    <w:p w14:paraId="3F1B0F9C" w14:textId="13AE6E20" w:rsidR="008F5CE1" w:rsidRDefault="00147CCB" w:rsidP="006C3AE2">
      <w:pPr>
        <w:pStyle w:val="ListParagraph"/>
        <w:numPr>
          <w:ilvl w:val="1"/>
          <w:numId w:val="7"/>
        </w:numPr>
      </w:pPr>
      <w:r>
        <w:t>Equipment supplied as a reasonable adjustment</w:t>
      </w:r>
    </w:p>
    <w:p w14:paraId="75DA7F51" w14:textId="34ECDCC7" w:rsidR="008F5CE1" w:rsidRDefault="00147CCB" w:rsidP="006C3AE2">
      <w:pPr>
        <w:pStyle w:val="ListParagraph"/>
        <w:numPr>
          <w:ilvl w:val="1"/>
          <w:numId w:val="7"/>
        </w:numPr>
      </w:pPr>
      <w:r>
        <w:t>Equipment issued to facilitate home working.</w:t>
      </w:r>
    </w:p>
    <w:p w14:paraId="6CC1374C" w14:textId="1A86CCAE" w:rsidR="00171FDE" w:rsidRDefault="00171FDE" w:rsidP="006C3AE2">
      <w:pPr>
        <w:pStyle w:val="ListParagraph"/>
        <w:numPr>
          <w:ilvl w:val="0"/>
          <w:numId w:val="7"/>
        </w:numPr>
      </w:pPr>
      <w:r>
        <w:t>Arrange for an ex</w:t>
      </w:r>
      <w:r w:rsidR="00F15D4C">
        <w:t xml:space="preserve">it </w:t>
      </w:r>
      <w:r w:rsidR="00087A0E">
        <w:t>conversation</w:t>
      </w:r>
      <w:r w:rsidR="00F15D4C">
        <w:t xml:space="preserve"> to be carried out.</w:t>
      </w:r>
    </w:p>
    <w:p w14:paraId="7C565DD9" w14:textId="3E5252CB" w:rsidR="00171FDE" w:rsidRPr="00171FDE" w:rsidRDefault="00171FDE" w:rsidP="006C3AE2">
      <w:pPr>
        <w:pStyle w:val="ListParagraph"/>
        <w:numPr>
          <w:ilvl w:val="0"/>
          <w:numId w:val="7"/>
        </w:numPr>
      </w:pPr>
      <w:r>
        <w:t>Contact Enterprise to cancel the team member’s Car Club membership once they have left.</w:t>
      </w:r>
    </w:p>
    <w:p w14:paraId="10AAF3E3" w14:textId="187FEE58" w:rsidR="00B15959" w:rsidRDefault="00B15959" w:rsidP="00932FFC">
      <w:pPr>
        <w:pStyle w:val="Heading3"/>
        <w:ind w:left="794" w:hanging="794"/>
      </w:pPr>
      <w:bookmarkStart w:id="21" w:name="_Toc137651113"/>
      <w:r>
        <w:t>N</w:t>
      </w:r>
      <w:r w:rsidR="00171FDE">
        <w:t>otice period</w:t>
      </w:r>
      <w:bookmarkEnd w:id="21"/>
    </w:p>
    <w:p w14:paraId="29E1EAC9" w14:textId="3AF58BD9" w:rsidR="00B15959" w:rsidRDefault="00171FDE" w:rsidP="005D0111">
      <w:r w:rsidRPr="00171FDE">
        <w:t xml:space="preserve">If a member of your team submits their resignation using the online </w:t>
      </w:r>
      <w:r w:rsidRPr="00583520">
        <w:t>Resignation/Retiral form</w:t>
      </w:r>
      <w:r w:rsidRPr="00171FDE">
        <w:t>, you will receive an email notification and should check that the correct notice period has been submitted.</w:t>
      </w:r>
      <w:r w:rsidR="00A6113D" w:rsidRPr="00A6113D">
        <w:t xml:space="preserve"> When retiring, they should aim to give </w:t>
      </w:r>
      <w:r w:rsidR="00A6113D" w:rsidRPr="00A6113D">
        <w:lastRenderedPageBreak/>
        <w:t>three months’ notice. This is to make sure the pension administrator has plenty of time to process their pension.</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tice period per rank/grade"/>
        <w:tblDescription w:val="The table is split into two columns, rank/grade and notice period. Upto and including grade 7 has 4 weeks notice period, grade 8 and above is 8 weeks notice period, constable to chief superintendent is 28 days notice period, and assistant chief constable or above is 3 months notice period. If you are retiring you should give 3 months' notice period. This is to make sure the Pension Fund have plenty of time to process your pension."/>
      </w:tblPr>
      <w:tblGrid>
        <w:gridCol w:w="4508"/>
        <w:gridCol w:w="4508"/>
      </w:tblGrid>
      <w:tr w:rsidR="00171FDE" w14:paraId="0C8B2948" w14:textId="77777777" w:rsidTr="00A6113D">
        <w:trPr>
          <w:tblHeader/>
        </w:trPr>
        <w:tc>
          <w:tcPr>
            <w:tcW w:w="4508" w:type="dxa"/>
          </w:tcPr>
          <w:p w14:paraId="3510FA42" w14:textId="77777777" w:rsidR="00171FDE" w:rsidRPr="00171FDE" w:rsidRDefault="00171FDE" w:rsidP="001E7677">
            <w:pPr>
              <w:rPr>
                <w:rFonts w:ascii="Arial" w:hAnsi="Arial" w:cs="Arial"/>
                <w:b/>
                <w:sz w:val="24"/>
                <w:szCs w:val="24"/>
              </w:rPr>
            </w:pPr>
            <w:r w:rsidRPr="00171FDE">
              <w:rPr>
                <w:rFonts w:ascii="Arial" w:hAnsi="Arial" w:cs="Arial"/>
                <w:b/>
                <w:sz w:val="24"/>
                <w:szCs w:val="24"/>
              </w:rPr>
              <w:t>Rank/Grade</w:t>
            </w:r>
          </w:p>
        </w:tc>
        <w:tc>
          <w:tcPr>
            <w:tcW w:w="4508" w:type="dxa"/>
          </w:tcPr>
          <w:p w14:paraId="675D9788" w14:textId="77777777" w:rsidR="00171FDE" w:rsidRPr="00171FDE" w:rsidRDefault="00171FDE" w:rsidP="001E7677">
            <w:pPr>
              <w:rPr>
                <w:rFonts w:ascii="Arial" w:hAnsi="Arial" w:cs="Arial"/>
                <w:b/>
                <w:sz w:val="24"/>
                <w:szCs w:val="24"/>
              </w:rPr>
            </w:pPr>
            <w:r w:rsidRPr="00171FDE">
              <w:rPr>
                <w:rFonts w:ascii="Arial" w:hAnsi="Arial" w:cs="Arial"/>
                <w:b/>
                <w:sz w:val="24"/>
                <w:szCs w:val="24"/>
              </w:rPr>
              <w:t>Notice Period</w:t>
            </w:r>
          </w:p>
        </w:tc>
      </w:tr>
      <w:tr w:rsidR="00171FDE" w14:paraId="4DEA7655" w14:textId="77777777" w:rsidTr="001E7677">
        <w:tc>
          <w:tcPr>
            <w:tcW w:w="4508" w:type="dxa"/>
          </w:tcPr>
          <w:p w14:paraId="51BB5FB6" w14:textId="24AF44B6" w:rsidR="00171FDE" w:rsidRPr="00494DCF" w:rsidRDefault="00EC4A41" w:rsidP="001E7677">
            <w:pPr>
              <w:rPr>
                <w:rFonts w:ascii="Arial" w:hAnsi="Arial" w:cs="Arial"/>
                <w:sz w:val="24"/>
                <w:szCs w:val="24"/>
              </w:rPr>
            </w:pPr>
            <w:r>
              <w:rPr>
                <w:rFonts w:ascii="Arial" w:hAnsi="Arial" w:cs="Arial"/>
                <w:sz w:val="24"/>
                <w:szCs w:val="24"/>
              </w:rPr>
              <w:t>Up to and including G</w:t>
            </w:r>
            <w:r w:rsidR="00171FDE" w:rsidRPr="00494DCF">
              <w:rPr>
                <w:rFonts w:ascii="Arial" w:hAnsi="Arial" w:cs="Arial"/>
                <w:sz w:val="24"/>
                <w:szCs w:val="24"/>
              </w:rPr>
              <w:t>rade 7</w:t>
            </w:r>
          </w:p>
        </w:tc>
        <w:tc>
          <w:tcPr>
            <w:tcW w:w="4508" w:type="dxa"/>
          </w:tcPr>
          <w:p w14:paraId="1C539792" w14:textId="32840D27" w:rsidR="00171FDE" w:rsidRPr="00494DCF" w:rsidRDefault="00752E0C" w:rsidP="001E7677">
            <w:pPr>
              <w:rPr>
                <w:rFonts w:ascii="Arial" w:hAnsi="Arial" w:cs="Arial"/>
                <w:sz w:val="24"/>
                <w:szCs w:val="24"/>
              </w:rPr>
            </w:pPr>
            <w:r>
              <w:rPr>
                <w:rFonts w:ascii="Arial" w:hAnsi="Arial" w:cs="Arial"/>
                <w:sz w:val="24"/>
                <w:szCs w:val="24"/>
              </w:rPr>
              <w:t>Four</w:t>
            </w:r>
            <w:r w:rsidRPr="00494DCF">
              <w:rPr>
                <w:rFonts w:ascii="Arial" w:hAnsi="Arial" w:cs="Arial"/>
                <w:sz w:val="24"/>
                <w:szCs w:val="24"/>
              </w:rPr>
              <w:t xml:space="preserve"> weeks</w:t>
            </w:r>
          </w:p>
        </w:tc>
      </w:tr>
      <w:tr w:rsidR="00171FDE" w14:paraId="48CD0BA1" w14:textId="77777777" w:rsidTr="001E7677">
        <w:tc>
          <w:tcPr>
            <w:tcW w:w="4508" w:type="dxa"/>
          </w:tcPr>
          <w:p w14:paraId="36CA80DB" w14:textId="1C1188EA" w:rsidR="00171FDE" w:rsidRPr="00494DCF" w:rsidRDefault="00171FDE" w:rsidP="001E7677">
            <w:pPr>
              <w:rPr>
                <w:rFonts w:ascii="Arial" w:hAnsi="Arial" w:cs="Arial"/>
                <w:sz w:val="24"/>
                <w:szCs w:val="24"/>
              </w:rPr>
            </w:pPr>
            <w:bookmarkStart w:id="22" w:name="_Hlk138077661"/>
            <w:r w:rsidRPr="00494DCF">
              <w:rPr>
                <w:rFonts w:ascii="Arial" w:hAnsi="Arial" w:cs="Arial"/>
                <w:sz w:val="24"/>
                <w:szCs w:val="24"/>
              </w:rPr>
              <w:t xml:space="preserve">Grade 8 </w:t>
            </w:r>
            <w:r w:rsidR="00826DE8">
              <w:rPr>
                <w:rFonts w:ascii="Arial" w:hAnsi="Arial" w:cs="Arial"/>
                <w:sz w:val="24"/>
                <w:szCs w:val="24"/>
              </w:rPr>
              <w:t>– 14 inclusive</w:t>
            </w:r>
            <w:r w:rsidRPr="00494DCF">
              <w:rPr>
                <w:rFonts w:ascii="Arial" w:hAnsi="Arial" w:cs="Arial"/>
                <w:sz w:val="24"/>
                <w:szCs w:val="24"/>
              </w:rPr>
              <w:t xml:space="preserve"> </w:t>
            </w:r>
            <w:bookmarkEnd w:id="22"/>
          </w:p>
        </w:tc>
        <w:tc>
          <w:tcPr>
            <w:tcW w:w="4508" w:type="dxa"/>
          </w:tcPr>
          <w:p w14:paraId="11BE3391" w14:textId="0B0A06DF" w:rsidR="00171FDE" w:rsidRPr="00494DCF" w:rsidRDefault="00752E0C" w:rsidP="001E7677">
            <w:pPr>
              <w:rPr>
                <w:rFonts w:ascii="Arial" w:hAnsi="Arial" w:cs="Arial"/>
                <w:sz w:val="24"/>
                <w:szCs w:val="24"/>
              </w:rPr>
            </w:pPr>
            <w:r>
              <w:rPr>
                <w:rFonts w:ascii="Arial" w:hAnsi="Arial" w:cs="Arial"/>
                <w:sz w:val="24"/>
                <w:szCs w:val="24"/>
              </w:rPr>
              <w:t>Eight</w:t>
            </w:r>
            <w:r w:rsidRPr="00494DCF">
              <w:rPr>
                <w:rFonts w:ascii="Arial" w:hAnsi="Arial" w:cs="Arial"/>
                <w:sz w:val="24"/>
                <w:szCs w:val="24"/>
              </w:rPr>
              <w:t xml:space="preserve"> weeks</w:t>
            </w:r>
          </w:p>
        </w:tc>
      </w:tr>
      <w:tr w:rsidR="00171FDE" w14:paraId="22477A45" w14:textId="77777777" w:rsidTr="001E7677">
        <w:tc>
          <w:tcPr>
            <w:tcW w:w="4508" w:type="dxa"/>
          </w:tcPr>
          <w:p w14:paraId="7D44040A" w14:textId="77777777" w:rsidR="00171FDE" w:rsidRPr="00494DCF" w:rsidRDefault="00171FDE" w:rsidP="001E7677">
            <w:pPr>
              <w:rPr>
                <w:rFonts w:ascii="Arial" w:hAnsi="Arial" w:cs="Arial"/>
                <w:sz w:val="24"/>
                <w:szCs w:val="24"/>
              </w:rPr>
            </w:pPr>
            <w:r w:rsidRPr="00494DCF">
              <w:rPr>
                <w:rFonts w:ascii="Arial" w:hAnsi="Arial" w:cs="Arial"/>
                <w:sz w:val="24"/>
                <w:szCs w:val="24"/>
              </w:rPr>
              <w:t>Constable to Chief Superintendent</w:t>
            </w:r>
          </w:p>
        </w:tc>
        <w:tc>
          <w:tcPr>
            <w:tcW w:w="4508" w:type="dxa"/>
          </w:tcPr>
          <w:p w14:paraId="355BEAB2" w14:textId="77777777" w:rsidR="00171FDE" w:rsidRPr="00494DCF" w:rsidRDefault="00171FDE" w:rsidP="001E7677">
            <w:pPr>
              <w:rPr>
                <w:rFonts w:ascii="Arial" w:hAnsi="Arial" w:cs="Arial"/>
                <w:sz w:val="24"/>
                <w:szCs w:val="24"/>
              </w:rPr>
            </w:pPr>
            <w:r w:rsidRPr="00494DCF">
              <w:rPr>
                <w:rFonts w:ascii="Arial" w:hAnsi="Arial" w:cs="Arial"/>
                <w:sz w:val="24"/>
                <w:szCs w:val="24"/>
              </w:rPr>
              <w:t>28 days</w:t>
            </w:r>
          </w:p>
        </w:tc>
      </w:tr>
      <w:tr w:rsidR="00171FDE" w14:paraId="7FE72797" w14:textId="77777777" w:rsidTr="001E7677">
        <w:tc>
          <w:tcPr>
            <w:tcW w:w="4508" w:type="dxa"/>
          </w:tcPr>
          <w:p w14:paraId="2B2A671C" w14:textId="77777777" w:rsidR="00171FDE" w:rsidRPr="00494DCF" w:rsidRDefault="00171FDE" w:rsidP="001E7677">
            <w:pPr>
              <w:rPr>
                <w:rFonts w:ascii="Arial" w:hAnsi="Arial" w:cs="Arial"/>
                <w:sz w:val="24"/>
                <w:szCs w:val="24"/>
              </w:rPr>
            </w:pPr>
            <w:r w:rsidRPr="00494DCF">
              <w:rPr>
                <w:rFonts w:ascii="Arial" w:hAnsi="Arial" w:cs="Arial"/>
                <w:sz w:val="24"/>
                <w:szCs w:val="24"/>
              </w:rPr>
              <w:t>Assistant Chief Constable or Above</w:t>
            </w:r>
          </w:p>
        </w:tc>
        <w:tc>
          <w:tcPr>
            <w:tcW w:w="4508" w:type="dxa"/>
          </w:tcPr>
          <w:p w14:paraId="14C25FF0" w14:textId="77777777" w:rsidR="00171FDE" w:rsidRPr="00494DCF" w:rsidRDefault="00171FDE" w:rsidP="001E7677">
            <w:pPr>
              <w:rPr>
                <w:rFonts w:ascii="Arial" w:hAnsi="Arial" w:cs="Arial"/>
                <w:sz w:val="24"/>
                <w:szCs w:val="24"/>
              </w:rPr>
            </w:pPr>
            <w:r w:rsidRPr="00494DCF">
              <w:rPr>
                <w:rFonts w:ascii="Arial" w:hAnsi="Arial" w:cs="Arial"/>
                <w:sz w:val="24"/>
                <w:szCs w:val="24"/>
              </w:rPr>
              <w:t>Three months</w:t>
            </w:r>
          </w:p>
        </w:tc>
      </w:tr>
    </w:tbl>
    <w:p w14:paraId="67E5ED55" w14:textId="7BD6F9FC" w:rsidR="00FC5642" w:rsidRDefault="00FC5642" w:rsidP="00FC5642">
      <w:r>
        <w:t xml:space="preserve">In circumstances where a team member is off work and unable to access the online form, they should submit their resignation in writing to you by email. This should be forwarded to </w:t>
      </w:r>
      <w:r w:rsidRPr="00583520">
        <w:t>Shared Services Team 2</w:t>
      </w:r>
      <w:r>
        <w:t xml:space="preserve"> who will process the form on their behalf.</w:t>
      </w:r>
    </w:p>
    <w:p w14:paraId="01BFA311" w14:textId="1BA257A7" w:rsidR="00167046" w:rsidRDefault="00E54103" w:rsidP="00932FFC">
      <w:pPr>
        <w:pStyle w:val="Heading3"/>
        <w:ind w:left="794" w:hanging="794"/>
      </w:pPr>
      <w:bookmarkStart w:id="23" w:name="_Toc137651114"/>
      <w:r>
        <w:t>Uniform and equipment</w:t>
      </w:r>
      <w:bookmarkEnd w:id="23"/>
    </w:p>
    <w:p w14:paraId="7CCFF5E7" w14:textId="6D2A6E78" w:rsidR="00E54103" w:rsidRDefault="00E54103" w:rsidP="00E54103">
      <w:r>
        <w:t xml:space="preserve">Your team member must return their </w:t>
      </w:r>
      <w:r w:rsidR="00CA77E9">
        <w:t>Police N</w:t>
      </w:r>
      <w:r>
        <w:t>otebooks, ID and/or access cards to you</w:t>
      </w:r>
      <w:r w:rsidR="00CC7777">
        <w:t xml:space="preserve">. Cards </w:t>
      </w:r>
      <w:r>
        <w:t xml:space="preserve">should </w:t>
      </w:r>
      <w:r w:rsidR="00CC7777">
        <w:t xml:space="preserve">be </w:t>
      </w:r>
      <w:r>
        <w:t>destroy</w:t>
      </w:r>
      <w:r w:rsidR="00CC7777">
        <w:t>ed</w:t>
      </w:r>
      <w:r>
        <w:t xml:space="preserve"> or return</w:t>
      </w:r>
      <w:r w:rsidR="00CC7777">
        <w:t>ed</w:t>
      </w:r>
      <w:r>
        <w:t xml:space="preserve"> to Administration, as per local processes.</w:t>
      </w:r>
    </w:p>
    <w:p w14:paraId="5119A2B7" w14:textId="00C8D02C" w:rsidR="00E54103" w:rsidRDefault="00E54103" w:rsidP="00E54103">
      <w:r>
        <w:t xml:space="preserve">Completed notebooks must not be retained by your team member unless they are essential to conclude an ongoing enquiry. They must be checked, </w:t>
      </w:r>
      <w:r w:rsidR="00752E0C">
        <w:t>signed,</w:t>
      </w:r>
      <w:r>
        <w:t xml:space="preserve"> and dated by you</w:t>
      </w:r>
      <w:r w:rsidR="00147CCB">
        <w:t>,</w:t>
      </w:r>
      <w:r>
        <w:t xml:space="preserve"> and stored in accord</w:t>
      </w:r>
      <w:r w:rsidR="00CC7777">
        <w:t>ance with the Record Retention Procedure</w:t>
      </w:r>
      <w:r>
        <w:t>.</w:t>
      </w:r>
    </w:p>
    <w:p w14:paraId="2FDF62CC" w14:textId="2CB7EEF4" w:rsidR="00E54103" w:rsidRDefault="00E54103" w:rsidP="00E54103">
      <w:r>
        <w:t xml:space="preserve">Your team member is responsible for returning all other uniform, equipment </w:t>
      </w:r>
      <w:r w:rsidR="001F498A">
        <w:t xml:space="preserve">(including home working equipment) </w:t>
      </w:r>
      <w:r>
        <w:t xml:space="preserve">and assets to their local Stores or in line with local arrangements. A checklist form is provided within the forms </w:t>
      </w:r>
      <w:r w:rsidR="00664703">
        <w:t>section and</w:t>
      </w:r>
      <w:r>
        <w:t xml:space="preserve"> should be completed and forwarded to </w:t>
      </w:r>
      <w:r w:rsidR="004071E6">
        <w:t>Shared</w:t>
      </w:r>
      <w:r>
        <w:t xml:space="preserve"> Services for filing.</w:t>
      </w:r>
    </w:p>
    <w:p w14:paraId="2D265473" w14:textId="300C600C" w:rsidR="000D09A0" w:rsidRDefault="00147CCB" w:rsidP="00147CCB">
      <w:r>
        <w:t xml:space="preserve">You must check that </w:t>
      </w:r>
      <w:r w:rsidR="00583520" w:rsidRPr="00583520">
        <w:rPr>
          <w:b/>
          <w:bCs/>
        </w:rPr>
        <w:t>[REDACTED]</w:t>
      </w:r>
      <w:r>
        <w:t xml:space="preserve"> has been given the details of </w:t>
      </w:r>
      <w:r w:rsidR="000E2A27">
        <w:t>any</w:t>
      </w:r>
      <w:r>
        <w:t xml:space="preserve"> equipment issued as a reasonable adjustment, and its location.</w:t>
      </w:r>
    </w:p>
    <w:p w14:paraId="05046F3A" w14:textId="77777777" w:rsidR="003E459D" w:rsidRDefault="003E459D">
      <w:pPr>
        <w:spacing w:after="0"/>
        <w:ind w:firstLine="340"/>
        <w:rPr>
          <w:rFonts w:ascii="Arial Bold" w:eastAsiaTheme="majorEastAsia" w:hAnsi="Arial Bold" w:cstheme="majorBidi"/>
          <w:b/>
          <w:sz w:val="28"/>
          <w:szCs w:val="26"/>
        </w:rPr>
      </w:pPr>
      <w:bookmarkStart w:id="24" w:name="_Toc137651115"/>
      <w:r>
        <w:br w:type="page"/>
      </w:r>
    </w:p>
    <w:p w14:paraId="360631ED" w14:textId="3111700D" w:rsidR="00CA77E9" w:rsidRPr="00CA77E9" w:rsidRDefault="00752E0C" w:rsidP="00932FFC">
      <w:pPr>
        <w:pStyle w:val="Heading3"/>
        <w:ind w:left="794" w:hanging="794"/>
      </w:pPr>
      <w:r>
        <w:lastRenderedPageBreak/>
        <w:t>Exit interview/</w:t>
      </w:r>
      <w:r w:rsidR="00CA77E9" w:rsidRPr="00CA77E9">
        <w:t>survey</w:t>
      </w:r>
      <w:bookmarkEnd w:id="24"/>
    </w:p>
    <w:p w14:paraId="4BB3F5A7" w14:textId="293B92C7" w:rsidR="00E54103" w:rsidRDefault="00CA77E9" w:rsidP="00E54103">
      <w:r>
        <w:t>A</w:t>
      </w:r>
      <w:r w:rsidR="00752E0C">
        <w:t xml:space="preserve">n exit interview </w:t>
      </w:r>
      <w:r w:rsidR="00E54103">
        <w:t xml:space="preserve">should be </w:t>
      </w:r>
      <w:r w:rsidR="00807523">
        <w:t xml:space="preserve">arranged </w:t>
      </w:r>
      <w:r w:rsidR="001F3E33">
        <w:t>for all staff and officers</w:t>
      </w:r>
      <w:r>
        <w:t>. This</w:t>
      </w:r>
      <w:r w:rsidR="001F3E33">
        <w:t xml:space="preserve"> </w:t>
      </w:r>
      <w:r w:rsidR="00415E94">
        <w:t>should</w:t>
      </w:r>
      <w:r w:rsidR="001F3E33">
        <w:t xml:space="preserve"> be</w:t>
      </w:r>
      <w:r w:rsidR="00AB046B">
        <w:t xml:space="preserve"> </w:t>
      </w:r>
      <w:r w:rsidR="00E54103">
        <w:t xml:space="preserve">carried out </w:t>
      </w:r>
      <w:r w:rsidR="00E54103" w:rsidRPr="00C82FE3">
        <w:t xml:space="preserve">by a suitable </w:t>
      </w:r>
      <w:r w:rsidR="00390927" w:rsidRPr="00C82FE3">
        <w:t xml:space="preserve">senior </w:t>
      </w:r>
      <w:r w:rsidR="00E54103" w:rsidRPr="00C82FE3">
        <w:t xml:space="preserve">manager, usually the Area Commander/Head of Department. </w:t>
      </w:r>
      <w:r w:rsidR="00390927" w:rsidRPr="00C82FE3">
        <w:t>Individuals</w:t>
      </w:r>
      <w:r w:rsidR="00E54103">
        <w:t xml:space="preserve"> may be</w:t>
      </w:r>
      <w:r w:rsidR="000E2A27">
        <w:t xml:space="preserve"> accompanied to this </w:t>
      </w:r>
      <w:r w:rsidR="00087A0E">
        <w:t>conversation</w:t>
      </w:r>
      <w:r w:rsidR="000E2A27">
        <w:t xml:space="preserve"> </w:t>
      </w:r>
      <w:r w:rsidR="000E2A27" w:rsidRPr="003B684F">
        <w:rPr>
          <w:rFonts w:cs="Arial"/>
        </w:rPr>
        <w:t xml:space="preserve">by any of the </w:t>
      </w:r>
      <w:r w:rsidR="000E2A27">
        <w:rPr>
          <w:rFonts w:cs="Arial"/>
        </w:rPr>
        <w:t xml:space="preserve">diversity and inclusion </w:t>
      </w:r>
      <w:r w:rsidR="000E2A27" w:rsidRPr="003B684F">
        <w:rPr>
          <w:rFonts w:cs="Arial"/>
        </w:rPr>
        <w:t>staff associations, trade unions or officer representatives such as th</w:t>
      </w:r>
      <w:r w:rsidR="000E2A27">
        <w:rPr>
          <w:rFonts w:cs="Arial"/>
        </w:rPr>
        <w:t>e Scottish Police Federation</w:t>
      </w:r>
      <w:r w:rsidR="000E2A27" w:rsidRPr="003B684F">
        <w:rPr>
          <w:rFonts w:cs="Arial"/>
        </w:rPr>
        <w:t>.</w:t>
      </w:r>
    </w:p>
    <w:p w14:paraId="7A274979" w14:textId="15C5252E" w:rsidR="00133B94" w:rsidRPr="00133B94" w:rsidRDefault="00415E94" w:rsidP="00133B94">
      <w:r>
        <w:t>They will also receive a</w:t>
      </w:r>
      <w:r w:rsidR="00AB046B">
        <w:t>n</w:t>
      </w:r>
      <w:r w:rsidR="00E54103">
        <w:t xml:space="preserve"> e</w:t>
      </w:r>
      <w:r w:rsidR="00F15D4C">
        <w:t xml:space="preserve">xit survey </w:t>
      </w:r>
      <w:r>
        <w:t>which will</w:t>
      </w:r>
      <w:r w:rsidR="00AB046B">
        <w:t xml:space="preserve"> </w:t>
      </w:r>
      <w:r w:rsidR="00F15D4C">
        <w:t>be sent to an e</w:t>
      </w:r>
      <w:r w:rsidR="00E54103">
        <w:t>mail address of their choice</w:t>
      </w:r>
      <w:r>
        <w:t xml:space="preserve">. </w:t>
      </w:r>
      <w:r w:rsidR="00E54103">
        <w:t xml:space="preserve">They will be asked to make their selection when </w:t>
      </w:r>
      <w:r>
        <w:t>submitting</w:t>
      </w:r>
      <w:r w:rsidR="00E54103">
        <w:t xml:space="preserve"> their </w:t>
      </w:r>
      <w:r w:rsidR="00E54103" w:rsidRPr="00583520">
        <w:t>Resignation/Retiral form</w:t>
      </w:r>
      <w:r w:rsidR="00E54103">
        <w:t>.</w:t>
      </w:r>
    </w:p>
    <w:p w14:paraId="60AFC2AE" w14:textId="3EB63978" w:rsidR="00E54103" w:rsidRDefault="00E54103" w:rsidP="00932FFC">
      <w:pPr>
        <w:pStyle w:val="Heading3"/>
        <w:ind w:left="794" w:hanging="794"/>
      </w:pPr>
      <w:bookmarkStart w:id="25" w:name="_Toc137651116"/>
      <w:r>
        <w:t>Reference requests</w:t>
      </w:r>
      <w:bookmarkEnd w:id="25"/>
    </w:p>
    <w:p w14:paraId="0CB02B0E" w14:textId="257A695D" w:rsidR="00E54103" w:rsidRDefault="00E54103" w:rsidP="00E54103">
      <w:r w:rsidRPr="00E54103">
        <w:t xml:space="preserve">Shared Services will provide all formal references to ensure these are true, accurate and fair. As a line manager you can provide a character </w:t>
      </w:r>
      <w:r w:rsidR="00664703" w:rsidRPr="00E54103">
        <w:t>reference,</w:t>
      </w:r>
      <w:r w:rsidRPr="00E54103">
        <w:t xml:space="preserve"> but you cannot represent the S</w:t>
      </w:r>
      <w:r w:rsidR="00CC7777">
        <w:t xml:space="preserve">cottish </w:t>
      </w:r>
      <w:r w:rsidRPr="00E54103">
        <w:t>P</w:t>
      </w:r>
      <w:r w:rsidR="00CC7777">
        <w:t xml:space="preserve">olice </w:t>
      </w:r>
      <w:r w:rsidRPr="00E54103">
        <w:t>A</w:t>
      </w:r>
      <w:r w:rsidR="00CC7777">
        <w:t>uthority (SPA)</w:t>
      </w:r>
      <w:r w:rsidRPr="00E54103">
        <w:t xml:space="preserve"> or Police Scotland by doing </w:t>
      </w:r>
      <w:r w:rsidR="00752E0C" w:rsidRPr="00E54103">
        <w:t>this</w:t>
      </w:r>
      <w:r w:rsidR="00752E0C">
        <w:t xml:space="preserve"> and</w:t>
      </w:r>
      <w:r w:rsidRPr="00E54103">
        <w:t xml:space="preserve"> </w:t>
      </w:r>
      <w:r w:rsidR="00CC7777">
        <w:t>must not use either your work e</w:t>
      </w:r>
      <w:r w:rsidRPr="00E54103">
        <w:t>mail or headed paper.</w:t>
      </w:r>
    </w:p>
    <w:p w14:paraId="18421455" w14:textId="7C8E3BBF" w:rsidR="0091318E" w:rsidRPr="00E54103" w:rsidRDefault="0091318E" w:rsidP="00E54103">
      <w:r w:rsidRPr="00350FFE">
        <w:t xml:space="preserve">A character reference is a personal reference that discusses the candidate's personality. It won't necessarily discuss job </w:t>
      </w:r>
      <w:r w:rsidR="00664703" w:rsidRPr="00350FFE">
        <w:t>performance but</w:t>
      </w:r>
      <w:r w:rsidRPr="00350FFE">
        <w:t xml:space="preserve"> can discuss related experience. You should remember that although references are given in </w:t>
      </w:r>
      <w:r>
        <w:t>confidence, the recipient may</w:t>
      </w:r>
      <w:r w:rsidRPr="00350FFE">
        <w:t xml:space="preserve"> need to disclose a reference under certain circumstances, such as a request for disclosure by an employment tribunal or under the Data Protection Act 2018.</w:t>
      </w:r>
    </w:p>
    <w:p w14:paraId="27DDF89E" w14:textId="77777777" w:rsidR="00167046" w:rsidRPr="00167046" w:rsidRDefault="00167046" w:rsidP="009A13A9"/>
    <w:p w14:paraId="09977AFA" w14:textId="77777777" w:rsidR="00B73549" w:rsidRDefault="00B73549" w:rsidP="009A13A9"/>
    <w:p w14:paraId="1355776E" w14:textId="77777777" w:rsidR="00B73549" w:rsidRDefault="00B73549" w:rsidP="009A13A9">
      <w:r>
        <w:br w:type="page"/>
      </w:r>
    </w:p>
    <w:p w14:paraId="50D369B0" w14:textId="0202DB72" w:rsidR="005C1EEE" w:rsidRPr="00906585" w:rsidRDefault="00906585" w:rsidP="00DE77F5">
      <w:pPr>
        <w:pStyle w:val="Heading2"/>
      </w:pPr>
      <w:bookmarkStart w:id="26" w:name="_Toc137651117"/>
      <w:r w:rsidRPr="00906585">
        <w:lastRenderedPageBreak/>
        <w:t>Resources</w:t>
      </w:r>
      <w:bookmarkEnd w:id="26"/>
    </w:p>
    <w:p w14:paraId="598A5DA7" w14:textId="77777777" w:rsidR="005C1EEE" w:rsidRPr="00575214" w:rsidRDefault="005C1EEE" w:rsidP="00932FFC">
      <w:pPr>
        <w:pStyle w:val="Heading3"/>
        <w:ind w:left="794" w:hanging="794"/>
      </w:pPr>
      <w:bookmarkStart w:id="27" w:name="_Toc137651118"/>
      <w:r w:rsidRPr="00575214">
        <w:t>Forms</w:t>
      </w:r>
      <w:bookmarkEnd w:id="27"/>
    </w:p>
    <w:p w14:paraId="369DE781" w14:textId="7BF3C68C" w:rsidR="00E54103" w:rsidRPr="00E54103" w:rsidRDefault="00E54103" w:rsidP="006C3AE2">
      <w:pPr>
        <w:pStyle w:val="ListParagraph"/>
        <w:numPr>
          <w:ilvl w:val="0"/>
          <w:numId w:val="8"/>
        </w:numPr>
        <w:rPr>
          <w:rStyle w:val="Hyperlink"/>
          <w:color w:val="auto"/>
          <w:u w:val="none"/>
        </w:rPr>
      </w:pPr>
      <w:r w:rsidRPr="00583520">
        <w:t>Leavers - Supervisory Checklist Form (122-003)</w:t>
      </w:r>
    </w:p>
    <w:p w14:paraId="62C71248" w14:textId="201B8D12" w:rsidR="00E54103" w:rsidRPr="00E54103" w:rsidRDefault="00E54103" w:rsidP="006C3AE2">
      <w:pPr>
        <w:pStyle w:val="ListParagraph"/>
        <w:numPr>
          <w:ilvl w:val="0"/>
          <w:numId w:val="8"/>
        </w:numPr>
        <w:rPr>
          <w:rStyle w:val="Hyperlink"/>
          <w:color w:val="auto"/>
          <w:u w:val="none"/>
        </w:rPr>
      </w:pPr>
      <w:r w:rsidRPr="00583520">
        <w:t>Leavers Checklist for SPA Staff</w:t>
      </w:r>
    </w:p>
    <w:p w14:paraId="4E84A4AF" w14:textId="1B0DCEE5" w:rsidR="00087A0E" w:rsidRDefault="00087A0E" w:rsidP="006C3AE2">
      <w:pPr>
        <w:pStyle w:val="ListParagraph"/>
        <w:numPr>
          <w:ilvl w:val="0"/>
          <w:numId w:val="8"/>
        </w:numPr>
      </w:pPr>
      <w:r w:rsidRPr="00583520">
        <w:t>Flexible Retirement Request Form (122-005)</w:t>
      </w:r>
    </w:p>
    <w:p w14:paraId="3E2A3433" w14:textId="0BA1A1D8" w:rsidR="00645555" w:rsidRPr="00645555" w:rsidRDefault="00645555" w:rsidP="00645555">
      <w:pPr>
        <w:pStyle w:val="ListParagraph"/>
        <w:numPr>
          <w:ilvl w:val="0"/>
          <w:numId w:val="8"/>
        </w:numPr>
      </w:pPr>
      <w:r w:rsidRPr="00645555">
        <w:t>Exit Interview Template (122-006)</w:t>
      </w:r>
    </w:p>
    <w:p w14:paraId="26B2F82F" w14:textId="06CFA447" w:rsidR="005C1EEE" w:rsidRDefault="005C1EEE" w:rsidP="00932FFC">
      <w:pPr>
        <w:pStyle w:val="Heading3"/>
        <w:ind w:left="794" w:hanging="794"/>
      </w:pPr>
      <w:bookmarkStart w:id="28" w:name="_Toc137651119"/>
      <w:r w:rsidRPr="00575214">
        <w:t>How to Guides</w:t>
      </w:r>
      <w:bookmarkEnd w:id="28"/>
    </w:p>
    <w:p w14:paraId="4463184F" w14:textId="07EA54CE" w:rsidR="00E54103" w:rsidRPr="00E54103" w:rsidRDefault="00E54103" w:rsidP="006C3AE2">
      <w:pPr>
        <w:pStyle w:val="ListParagraph"/>
        <w:numPr>
          <w:ilvl w:val="0"/>
          <w:numId w:val="9"/>
        </w:numPr>
      </w:pPr>
      <w:r w:rsidRPr="00583520">
        <w:t xml:space="preserve">Leavers – How to conduct an Exit </w:t>
      </w:r>
      <w:r w:rsidR="00C06469" w:rsidRPr="00583520">
        <w:t>Interview</w:t>
      </w:r>
    </w:p>
    <w:p w14:paraId="5587F085" w14:textId="77777777" w:rsidR="005C1EEE" w:rsidRDefault="005C1EEE" w:rsidP="00932FFC">
      <w:pPr>
        <w:pStyle w:val="Heading3"/>
        <w:ind w:left="794" w:hanging="794"/>
      </w:pPr>
      <w:bookmarkStart w:id="29" w:name="_Toc137651120"/>
      <w:r w:rsidRPr="00575214">
        <w:t>Related Procedures</w:t>
      </w:r>
      <w:bookmarkEnd w:id="29"/>
    </w:p>
    <w:p w14:paraId="22B98F68" w14:textId="53037EF8" w:rsidR="00E54103" w:rsidRDefault="00E54103" w:rsidP="006C3AE2">
      <w:pPr>
        <w:pStyle w:val="ListParagraph"/>
        <w:numPr>
          <w:ilvl w:val="0"/>
          <w:numId w:val="10"/>
        </w:numPr>
      </w:pPr>
      <w:r w:rsidRPr="00583520">
        <w:t>Allowances and Expenses (Officer)</w:t>
      </w:r>
    </w:p>
    <w:p w14:paraId="43BF464C" w14:textId="2D57FE93" w:rsidR="00E54103" w:rsidRDefault="00E54103" w:rsidP="006C3AE2">
      <w:pPr>
        <w:pStyle w:val="ListParagraph"/>
        <w:numPr>
          <w:ilvl w:val="0"/>
          <w:numId w:val="10"/>
        </w:numPr>
      </w:pPr>
      <w:r w:rsidRPr="00583520">
        <w:t>Allowances and Expenses (Staff)</w:t>
      </w:r>
    </w:p>
    <w:p w14:paraId="1BF8B052" w14:textId="34548343" w:rsidR="00E54103" w:rsidRDefault="00E54103" w:rsidP="006C3AE2">
      <w:pPr>
        <w:pStyle w:val="ListParagraph"/>
        <w:numPr>
          <w:ilvl w:val="0"/>
          <w:numId w:val="10"/>
        </w:numPr>
      </w:pPr>
      <w:r w:rsidRPr="00583520">
        <w:t>Capability (Attendance &amp; performance) (Authority/Police Staff SOP</w:t>
      </w:r>
    </w:p>
    <w:p w14:paraId="2E91040B" w14:textId="0C4673D0" w:rsidR="00E54103" w:rsidRDefault="00E54103" w:rsidP="006C3AE2">
      <w:pPr>
        <w:pStyle w:val="ListParagraph"/>
        <w:numPr>
          <w:ilvl w:val="0"/>
          <w:numId w:val="10"/>
        </w:numPr>
      </w:pPr>
      <w:r w:rsidRPr="00583520">
        <w:t>Capability (Attendance &amp; Performance) (Police Officer) SOP</w:t>
      </w:r>
    </w:p>
    <w:p w14:paraId="74D35889" w14:textId="737D1AB4" w:rsidR="001E7677" w:rsidRDefault="00D6576A" w:rsidP="006C3AE2">
      <w:pPr>
        <w:pStyle w:val="ListParagraph"/>
        <w:numPr>
          <w:ilvl w:val="0"/>
          <w:numId w:val="10"/>
        </w:numPr>
      </w:pPr>
      <w:r w:rsidRPr="00583520">
        <w:t>Ill health</w:t>
      </w:r>
      <w:r w:rsidR="001E7677" w:rsidRPr="00583520">
        <w:t xml:space="preserve"> Retirement (Staff)</w:t>
      </w:r>
    </w:p>
    <w:p w14:paraId="0C54F410" w14:textId="54ABF32D" w:rsidR="00E54103" w:rsidRDefault="00D6576A" w:rsidP="006C3AE2">
      <w:pPr>
        <w:pStyle w:val="ListParagraph"/>
        <w:numPr>
          <w:ilvl w:val="0"/>
          <w:numId w:val="10"/>
        </w:numPr>
      </w:pPr>
      <w:r w:rsidRPr="00583520">
        <w:t>Ill health</w:t>
      </w:r>
      <w:r w:rsidR="00E54103" w:rsidRPr="00583520">
        <w:t xml:space="preserve"> Retirement and Injury on Duty</w:t>
      </w:r>
      <w:r w:rsidR="001E7677" w:rsidRPr="00583520">
        <w:t xml:space="preserve"> (Officer)</w:t>
      </w:r>
    </w:p>
    <w:p w14:paraId="3223CA07" w14:textId="17EDFACA" w:rsidR="00E54103" w:rsidRDefault="00E54103" w:rsidP="006C3AE2">
      <w:pPr>
        <w:pStyle w:val="ListParagraph"/>
        <w:numPr>
          <w:ilvl w:val="0"/>
          <w:numId w:val="10"/>
        </w:numPr>
      </w:pPr>
      <w:r w:rsidRPr="00583520">
        <w:t>Overtime and Toil (Staff)</w:t>
      </w:r>
    </w:p>
    <w:p w14:paraId="4EA32B1C" w14:textId="77777777" w:rsidR="005C1EEE" w:rsidRPr="00575214" w:rsidRDefault="005C1EEE" w:rsidP="00932FFC">
      <w:pPr>
        <w:pStyle w:val="Heading3"/>
        <w:ind w:left="794" w:hanging="794"/>
      </w:pPr>
      <w:bookmarkStart w:id="30" w:name="_Toc137651121"/>
      <w:r w:rsidRPr="00575214">
        <w:t>Useful Links</w:t>
      </w:r>
      <w:bookmarkEnd w:id="30"/>
    </w:p>
    <w:p w14:paraId="14D4957D" w14:textId="30083EDE" w:rsidR="00CD3BBE" w:rsidRPr="00CD3BBE" w:rsidRDefault="00CD3BBE" w:rsidP="00CD3BBE">
      <w:pPr>
        <w:pStyle w:val="ListParagraph"/>
        <w:numPr>
          <w:ilvl w:val="0"/>
          <w:numId w:val="10"/>
        </w:numPr>
      </w:pPr>
      <w:r w:rsidRPr="00CD3BBE">
        <w:t>Airwave Terminal Return Form</w:t>
      </w:r>
    </w:p>
    <w:p w14:paraId="46560B15" w14:textId="789CBCE9" w:rsidR="003C125F" w:rsidRDefault="003C125F" w:rsidP="00CD3BBE">
      <w:pPr>
        <w:pStyle w:val="ListParagraph"/>
        <w:numPr>
          <w:ilvl w:val="0"/>
          <w:numId w:val="10"/>
        </w:numPr>
      </w:pPr>
      <w:r w:rsidRPr="00583520">
        <w:lastRenderedPageBreak/>
        <w:t>Leavers Support Hub</w:t>
      </w:r>
      <w:r w:rsidRPr="00BC7507">
        <w:t>.</w:t>
      </w:r>
    </w:p>
    <w:p w14:paraId="525A5D7E" w14:textId="4431D21A" w:rsidR="00423D5C" w:rsidRDefault="008D71FD" w:rsidP="006C3AE2">
      <w:pPr>
        <w:pStyle w:val="ListParagraph"/>
        <w:numPr>
          <w:ilvl w:val="0"/>
          <w:numId w:val="10"/>
        </w:numPr>
      </w:pPr>
      <w:hyperlink r:id="rId16" w:history="1">
        <w:r w:rsidR="00423D5C">
          <w:rPr>
            <w:rStyle w:val="Hyperlink"/>
          </w:rPr>
          <w:t>LGPS Scotland (scotlgpsmember.org)</w:t>
        </w:r>
      </w:hyperlink>
    </w:p>
    <w:p w14:paraId="391D430B" w14:textId="42E58F62" w:rsidR="007F4AD1" w:rsidRDefault="008D71FD" w:rsidP="006C3AE2">
      <w:pPr>
        <w:pStyle w:val="ListParagraph"/>
        <w:numPr>
          <w:ilvl w:val="0"/>
          <w:numId w:val="10"/>
        </w:numPr>
      </w:pPr>
      <w:hyperlink r:id="rId17" w:history="1">
        <w:r w:rsidR="007F4AD1" w:rsidRPr="007F4AD1">
          <w:rPr>
            <w:rStyle w:val="Hyperlink"/>
          </w:rPr>
          <w:t>Local Government Pension Scheme, (Scotland), Flexible Retirement guidance on actuarial reduction</w:t>
        </w:r>
      </w:hyperlink>
    </w:p>
    <w:p w14:paraId="6FC19073" w14:textId="358EA0A8" w:rsidR="00423D5C" w:rsidRDefault="00423D5C" w:rsidP="006C3AE2">
      <w:pPr>
        <w:pStyle w:val="ListParagraph"/>
        <w:numPr>
          <w:ilvl w:val="0"/>
          <w:numId w:val="11"/>
        </w:numPr>
      </w:pPr>
      <w:r w:rsidRPr="00583520">
        <w:t>Notebooks National Guidance</w:t>
      </w:r>
    </w:p>
    <w:p w14:paraId="6FCF7845" w14:textId="5254F4D8" w:rsidR="00423D5C" w:rsidRDefault="00423D5C" w:rsidP="006C3AE2">
      <w:pPr>
        <w:pStyle w:val="ListParagraph"/>
        <w:numPr>
          <w:ilvl w:val="0"/>
          <w:numId w:val="11"/>
        </w:numPr>
      </w:pPr>
      <w:r w:rsidRPr="00583520">
        <w:t>Online Resignation &amp; Retiral Form</w:t>
      </w:r>
    </w:p>
    <w:p w14:paraId="0545EFDF" w14:textId="77777777" w:rsidR="00423D5C" w:rsidRDefault="008D71FD" w:rsidP="006C3AE2">
      <w:pPr>
        <w:pStyle w:val="ListParagraph"/>
        <w:numPr>
          <w:ilvl w:val="0"/>
          <w:numId w:val="11"/>
        </w:numPr>
      </w:pPr>
      <w:hyperlink r:id="rId18" w:history="1">
        <w:r w:rsidR="00423D5C" w:rsidRPr="00887C3F">
          <w:rPr>
            <w:rStyle w:val="Hyperlink"/>
          </w:rPr>
          <w:t>Police Pension Schemes – Reemployment Factsheet</w:t>
        </w:r>
      </w:hyperlink>
    </w:p>
    <w:p w14:paraId="670FFAC7" w14:textId="77777777" w:rsidR="00423D5C" w:rsidRPr="00E54103" w:rsidRDefault="008D71FD" w:rsidP="006C3AE2">
      <w:pPr>
        <w:pStyle w:val="ListParagraph"/>
        <w:numPr>
          <w:ilvl w:val="0"/>
          <w:numId w:val="10"/>
        </w:numPr>
      </w:pPr>
      <w:hyperlink r:id="rId19" w:history="1">
        <w:r w:rsidR="00423D5C" w:rsidRPr="001E7677">
          <w:rPr>
            <w:rStyle w:val="Hyperlink"/>
          </w:rPr>
          <w:t>Police Service of Scotland (Conduct) Regulations 2014</w:t>
        </w:r>
      </w:hyperlink>
    </w:p>
    <w:p w14:paraId="6B148A0B" w14:textId="5F748205" w:rsidR="00423D5C" w:rsidRPr="00070378" w:rsidRDefault="00423D5C" w:rsidP="006C3AE2">
      <w:pPr>
        <w:pStyle w:val="ListParagraph"/>
        <w:numPr>
          <w:ilvl w:val="0"/>
          <w:numId w:val="11"/>
        </w:numPr>
        <w:rPr>
          <w:rStyle w:val="Hyperlink"/>
          <w:color w:val="auto"/>
          <w:u w:val="none"/>
        </w:rPr>
      </w:pPr>
      <w:r w:rsidRPr="00583520">
        <w:t>SCoPE Leavers Administration Checklist</w:t>
      </w:r>
    </w:p>
    <w:p w14:paraId="0E00BB77" w14:textId="77777777" w:rsidR="00423D5C" w:rsidRPr="00423D5C" w:rsidRDefault="008D71FD" w:rsidP="006C3AE2">
      <w:pPr>
        <w:pStyle w:val="ListParagraph"/>
        <w:numPr>
          <w:ilvl w:val="0"/>
          <w:numId w:val="11"/>
        </w:numPr>
        <w:rPr>
          <w:rStyle w:val="Hyperlink"/>
          <w:color w:val="auto"/>
          <w:u w:val="none"/>
        </w:rPr>
      </w:pPr>
      <w:hyperlink r:id="rId20" w:history="1">
        <w:r w:rsidR="00423D5C" w:rsidRPr="00070378">
          <w:rPr>
            <w:rStyle w:val="Hyperlink"/>
          </w:rPr>
          <w:t xml:space="preserve">Scottish Public </w:t>
        </w:r>
        <w:r w:rsidR="00423D5C">
          <w:rPr>
            <w:rStyle w:val="Hyperlink"/>
          </w:rPr>
          <w:t>P</w:t>
        </w:r>
        <w:r w:rsidR="00423D5C" w:rsidRPr="00070378">
          <w:rPr>
            <w:rStyle w:val="Hyperlink"/>
          </w:rPr>
          <w:t>ensions Agency</w:t>
        </w:r>
      </w:hyperlink>
    </w:p>
    <w:p w14:paraId="4D247442" w14:textId="77777777" w:rsidR="00423D5C" w:rsidRPr="00887C3F" w:rsidRDefault="008D71FD" w:rsidP="006C3AE2">
      <w:pPr>
        <w:pStyle w:val="ListParagraph"/>
        <w:numPr>
          <w:ilvl w:val="0"/>
          <w:numId w:val="11"/>
        </w:numPr>
        <w:rPr>
          <w:rStyle w:val="Hyperlink"/>
          <w:color w:val="auto"/>
          <w:u w:val="none"/>
        </w:rPr>
      </w:pPr>
      <w:hyperlink r:id="rId21" w:history="1">
        <w:r w:rsidR="00423D5C" w:rsidRPr="00423D5C">
          <w:rPr>
            <w:rStyle w:val="Hyperlink"/>
          </w:rPr>
          <w:t>The Police Pension Scheme (Scotland) Regulations 2015</w:t>
        </w:r>
      </w:hyperlink>
    </w:p>
    <w:p w14:paraId="5E4DFF58" w14:textId="77777777" w:rsidR="00A51D17" w:rsidRDefault="001E7677" w:rsidP="001E7677">
      <w:pPr>
        <w:ind w:left="360"/>
      </w:pPr>
      <w:r>
        <w:t xml:space="preserve"> </w:t>
      </w:r>
      <w:r w:rsidR="00A51D17">
        <w:br w:type="page"/>
      </w:r>
    </w:p>
    <w:p w14:paraId="6CE20260" w14:textId="77A05E49" w:rsidR="005414AC" w:rsidRDefault="005414AC" w:rsidP="00DE77F5">
      <w:pPr>
        <w:pStyle w:val="TableTitle"/>
        <w:jc w:val="left"/>
        <w:rPr>
          <w:sz w:val="32"/>
        </w:rPr>
      </w:pPr>
      <w:r w:rsidRPr="00DE77F5">
        <w:rPr>
          <w:sz w:val="32"/>
        </w:rPr>
        <w:lastRenderedPageBreak/>
        <w:t>Compliance Record</w:t>
      </w:r>
    </w:p>
    <w:p w14:paraId="267E912B" w14:textId="30A779B1" w:rsidR="00DE77F5" w:rsidRPr="00DE77F5" w:rsidRDefault="00DE77F5" w:rsidP="00DE77F5">
      <w:pPr>
        <w:tabs>
          <w:tab w:val="left" w:pos="4536"/>
        </w:tabs>
      </w:pPr>
      <w:r w:rsidRPr="00DE77F5">
        <w:t>EqHIRA co</w:t>
      </w:r>
      <w:r w:rsidR="00E54103">
        <w:t>mpletion/review date:</w:t>
      </w:r>
      <w:r w:rsidR="00E54103">
        <w:tab/>
      </w:r>
      <w:r w:rsidR="003E459D">
        <w:t>01/12/2022</w:t>
      </w:r>
    </w:p>
    <w:p w14:paraId="6093DCBC" w14:textId="26B8EB16" w:rsidR="00DE77F5" w:rsidRPr="00DE77F5" w:rsidRDefault="00DE77F5" w:rsidP="00DE77F5">
      <w:pPr>
        <w:tabs>
          <w:tab w:val="left" w:pos="4536"/>
        </w:tabs>
      </w:pPr>
      <w:r w:rsidRPr="00DE77F5">
        <w:t>Inform</w:t>
      </w:r>
      <w:r>
        <w:t xml:space="preserve">ation Management Compliant: </w:t>
      </w:r>
      <w:r>
        <w:tab/>
      </w:r>
      <w:r w:rsidR="00E54103">
        <w:t>Yes</w:t>
      </w:r>
    </w:p>
    <w:p w14:paraId="46300FC9" w14:textId="13665D06" w:rsidR="000806DB" w:rsidRDefault="00DE77F5" w:rsidP="000806DB">
      <w:pPr>
        <w:tabs>
          <w:tab w:val="left" w:pos="4536"/>
        </w:tabs>
      </w:pPr>
      <w:r>
        <w:t xml:space="preserve">Health and Safety Compliant: </w:t>
      </w:r>
      <w:r>
        <w:tab/>
      </w:r>
      <w:r w:rsidR="00E54103">
        <w:t>Yes</w:t>
      </w:r>
    </w:p>
    <w:p w14:paraId="600E80A7" w14:textId="090B7E03" w:rsidR="000806DB" w:rsidRPr="00DE77F5" w:rsidRDefault="000806DB" w:rsidP="000806DB">
      <w:pPr>
        <w:tabs>
          <w:tab w:val="left" w:pos="4536"/>
        </w:tabs>
      </w:pPr>
      <w:r>
        <w:rPr>
          <w:shd w:val="clear" w:color="auto" w:fill="FFFFFF"/>
        </w:rPr>
        <w:t>Publ</w:t>
      </w:r>
      <w:r w:rsidR="00E54103">
        <w:rPr>
          <w:shd w:val="clear" w:color="auto" w:fill="FFFFFF"/>
        </w:rPr>
        <w:t xml:space="preserve">ication Scheme Compliant: </w:t>
      </w:r>
      <w:r w:rsidR="00E54103">
        <w:rPr>
          <w:shd w:val="clear" w:color="auto" w:fill="FFFFFF"/>
        </w:rPr>
        <w:tab/>
        <w:t>Yes</w:t>
      </w:r>
    </w:p>
    <w:p w14:paraId="2B41276B" w14:textId="77777777" w:rsidR="005414AC" w:rsidRPr="00DE77F5" w:rsidRDefault="005414AC" w:rsidP="00DE77F5">
      <w:pPr>
        <w:pStyle w:val="TableTitle"/>
        <w:spacing w:before="600"/>
        <w:jc w:val="left"/>
        <w:rPr>
          <w:sz w:val="32"/>
        </w:rPr>
      </w:pPr>
      <w:r w:rsidRPr="00DE77F5">
        <w:rPr>
          <w:sz w:val="32"/>
        </w:rPr>
        <w:t>Version Control Table</w:t>
      </w:r>
    </w:p>
    <w:tbl>
      <w:tblPr>
        <w:tblStyle w:val="TableGridLight"/>
        <w:tblW w:w="5000" w:type="pct"/>
        <w:tblLook w:val="01E0" w:firstRow="1" w:lastRow="1" w:firstColumn="1" w:lastColumn="1" w:noHBand="0" w:noVBand="0"/>
        <w:tblCaption w:val="Version history table"/>
        <w:tblDescription w:val="The table reads left to right giving the version number, the amendments made in that version and the date of publication."/>
      </w:tblPr>
      <w:tblGrid>
        <w:gridCol w:w="1686"/>
        <w:gridCol w:w="4495"/>
        <w:gridCol w:w="2835"/>
      </w:tblGrid>
      <w:tr w:rsidR="005414AC" w:rsidRPr="0017739B" w14:paraId="380D20F7" w14:textId="77777777" w:rsidTr="00A6113D">
        <w:trPr>
          <w:tblHeader/>
        </w:trPr>
        <w:tc>
          <w:tcPr>
            <w:tcW w:w="935" w:type="pct"/>
          </w:tcPr>
          <w:p w14:paraId="7D91F667" w14:textId="77777777" w:rsidR="005414AC" w:rsidRPr="007E214E" w:rsidRDefault="005414AC" w:rsidP="00DE77F5">
            <w:pPr>
              <w:pStyle w:val="TableFieldHeading"/>
            </w:pPr>
            <w:r>
              <w:t>Version</w:t>
            </w:r>
          </w:p>
        </w:tc>
        <w:tc>
          <w:tcPr>
            <w:tcW w:w="2493" w:type="pct"/>
          </w:tcPr>
          <w:p w14:paraId="63A6D902" w14:textId="77777777" w:rsidR="005414AC" w:rsidRPr="007E214E" w:rsidRDefault="005414AC" w:rsidP="00DE77F5">
            <w:pPr>
              <w:pStyle w:val="TableFieldHeading"/>
            </w:pPr>
            <w:r w:rsidRPr="00BD2249">
              <w:t>History of Amendments</w:t>
            </w:r>
          </w:p>
        </w:tc>
        <w:tc>
          <w:tcPr>
            <w:tcW w:w="1572" w:type="pct"/>
          </w:tcPr>
          <w:p w14:paraId="12E00ADB" w14:textId="16C58380" w:rsidR="005414AC" w:rsidRPr="007E214E" w:rsidRDefault="00DE77F5" w:rsidP="00DE77F5">
            <w:pPr>
              <w:pStyle w:val="TableFieldHeading"/>
            </w:pPr>
            <w:r>
              <w:t xml:space="preserve">Approval </w:t>
            </w:r>
            <w:r w:rsidR="005414AC" w:rsidRPr="007E214E">
              <w:t>Date</w:t>
            </w:r>
          </w:p>
        </w:tc>
      </w:tr>
      <w:tr w:rsidR="00E54103" w:rsidRPr="0017739B" w14:paraId="5281A73B" w14:textId="77777777" w:rsidTr="00A6113D">
        <w:trPr>
          <w:trHeight w:val="568"/>
        </w:trPr>
        <w:tc>
          <w:tcPr>
            <w:tcW w:w="935" w:type="pct"/>
          </w:tcPr>
          <w:p w14:paraId="6AB6806A" w14:textId="23D76FD0" w:rsidR="00E54103" w:rsidRPr="007E214E" w:rsidRDefault="00E54103" w:rsidP="00E54103">
            <w:r w:rsidRPr="00311B44">
              <w:t>1.00</w:t>
            </w:r>
          </w:p>
        </w:tc>
        <w:tc>
          <w:tcPr>
            <w:tcW w:w="2493" w:type="pct"/>
          </w:tcPr>
          <w:p w14:paraId="766956CB" w14:textId="1AE94898" w:rsidR="00E54103" w:rsidRPr="00C75D25" w:rsidRDefault="00E54103" w:rsidP="00E54103">
            <w:r w:rsidRPr="00311B44">
              <w:t>Initial Approved Version</w:t>
            </w:r>
          </w:p>
        </w:tc>
        <w:tc>
          <w:tcPr>
            <w:tcW w:w="1572" w:type="pct"/>
          </w:tcPr>
          <w:p w14:paraId="4233A65A" w14:textId="0292B462" w:rsidR="00E54103" w:rsidRDefault="00E54103" w:rsidP="00E54103">
            <w:r w:rsidRPr="00311B44">
              <w:t>31/08/2017</w:t>
            </w:r>
          </w:p>
        </w:tc>
      </w:tr>
      <w:tr w:rsidR="00E54103" w:rsidRPr="0017739B" w14:paraId="419D0AD4" w14:textId="77777777" w:rsidTr="00A6113D">
        <w:trPr>
          <w:trHeight w:val="397"/>
        </w:trPr>
        <w:tc>
          <w:tcPr>
            <w:tcW w:w="935" w:type="pct"/>
          </w:tcPr>
          <w:p w14:paraId="52F968C9" w14:textId="511EB9D0" w:rsidR="00E54103" w:rsidRDefault="00E54103" w:rsidP="00E54103">
            <w:r w:rsidRPr="00311B44">
              <w:t>2.00</w:t>
            </w:r>
          </w:p>
        </w:tc>
        <w:tc>
          <w:tcPr>
            <w:tcW w:w="2493" w:type="pct"/>
          </w:tcPr>
          <w:p w14:paraId="4535C581" w14:textId="22CB52D5" w:rsidR="00E54103" w:rsidRDefault="00E54103" w:rsidP="00E54103">
            <w:r w:rsidRPr="00311B44">
              <w:t>Inclusion of new Leavers Checklist</w:t>
            </w:r>
          </w:p>
        </w:tc>
        <w:tc>
          <w:tcPr>
            <w:tcW w:w="1572" w:type="pct"/>
          </w:tcPr>
          <w:p w14:paraId="3AE6C193" w14:textId="6D357FEE" w:rsidR="00E54103" w:rsidRDefault="00E54103" w:rsidP="00E54103">
            <w:r w:rsidRPr="00311B44">
              <w:t>28/03/2018</w:t>
            </w:r>
          </w:p>
        </w:tc>
      </w:tr>
      <w:tr w:rsidR="00E54103" w:rsidRPr="0017739B" w14:paraId="3B633B62" w14:textId="77777777" w:rsidTr="00A6113D">
        <w:trPr>
          <w:trHeight w:val="397"/>
        </w:trPr>
        <w:tc>
          <w:tcPr>
            <w:tcW w:w="935" w:type="pct"/>
          </w:tcPr>
          <w:p w14:paraId="7F48A4CE" w14:textId="3879C366" w:rsidR="00E54103" w:rsidRDefault="00E54103" w:rsidP="00E54103">
            <w:r w:rsidRPr="00311B44">
              <w:t>3.00</w:t>
            </w:r>
          </w:p>
        </w:tc>
        <w:tc>
          <w:tcPr>
            <w:tcW w:w="2493" w:type="pct"/>
          </w:tcPr>
          <w:p w14:paraId="20E7736B" w14:textId="3249F64C" w:rsidR="00E54103" w:rsidRDefault="00E54103" w:rsidP="00E54103">
            <w:r w:rsidRPr="00311B44">
              <w:t>Policy Simplification Project. Procedure stripped back and written with customer focus to support modernisation and 2026 objectives.</w:t>
            </w:r>
          </w:p>
        </w:tc>
        <w:tc>
          <w:tcPr>
            <w:tcW w:w="1572" w:type="pct"/>
          </w:tcPr>
          <w:p w14:paraId="6A438571" w14:textId="5A7A9E12" w:rsidR="00E54103" w:rsidRDefault="00E54103" w:rsidP="00E54103">
            <w:r w:rsidRPr="00311B44">
              <w:t>01/04/2019</w:t>
            </w:r>
          </w:p>
        </w:tc>
      </w:tr>
      <w:tr w:rsidR="00E54103" w:rsidRPr="0017739B" w14:paraId="7E8DA18D" w14:textId="77777777" w:rsidTr="00A6113D">
        <w:trPr>
          <w:trHeight w:val="397"/>
        </w:trPr>
        <w:tc>
          <w:tcPr>
            <w:tcW w:w="935" w:type="pct"/>
          </w:tcPr>
          <w:p w14:paraId="395C171E" w14:textId="2D0EF7ED" w:rsidR="00E54103" w:rsidRDefault="00E54103" w:rsidP="00E54103">
            <w:r w:rsidRPr="00311B44">
              <w:t>4.00</w:t>
            </w:r>
          </w:p>
        </w:tc>
        <w:tc>
          <w:tcPr>
            <w:tcW w:w="2493" w:type="pct"/>
          </w:tcPr>
          <w:p w14:paraId="1CEF9EFC" w14:textId="3249FB57" w:rsidR="00E54103" w:rsidRDefault="00E54103" w:rsidP="00E54103">
            <w:r w:rsidRPr="00311B44">
              <w:t>Introduction of chart to support rule of 85 understanding within Appendix B.  Outstanding post publication queries rectified.</w:t>
            </w:r>
          </w:p>
        </w:tc>
        <w:tc>
          <w:tcPr>
            <w:tcW w:w="1572" w:type="pct"/>
          </w:tcPr>
          <w:p w14:paraId="2FB2EF28" w14:textId="5B3C13F1" w:rsidR="00E54103" w:rsidRDefault="00E54103" w:rsidP="00E54103">
            <w:r w:rsidRPr="00311B44">
              <w:t>20/01/2020</w:t>
            </w:r>
          </w:p>
        </w:tc>
      </w:tr>
      <w:tr w:rsidR="000842CB" w:rsidRPr="0017739B" w14:paraId="43C94190" w14:textId="77777777" w:rsidTr="00A6113D">
        <w:trPr>
          <w:trHeight w:val="397"/>
        </w:trPr>
        <w:tc>
          <w:tcPr>
            <w:tcW w:w="935" w:type="pct"/>
          </w:tcPr>
          <w:p w14:paraId="7511CDB0" w14:textId="10266648" w:rsidR="000842CB" w:rsidRPr="00311B44" w:rsidRDefault="000842CB" w:rsidP="00E54103">
            <w:r>
              <w:t>5.00</w:t>
            </w:r>
          </w:p>
        </w:tc>
        <w:tc>
          <w:tcPr>
            <w:tcW w:w="2493" w:type="pct"/>
          </w:tcPr>
          <w:p w14:paraId="470CC642" w14:textId="41D510CA" w:rsidR="000842CB" w:rsidRPr="00311B44" w:rsidRDefault="00A02A7F" w:rsidP="00E54103">
            <w:r>
              <w:t xml:space="preserve">New LGPS </w:t>
            </w:r>
            <w:r w:rsidR="00810E3C">
              <w:t xml:space="preserve">Scotland website launched allowing the removal of </w:t>
            </w:r>
            <w:r w:rsidR="00810E3C" w:rsidRPr="00810E3C">
              <w:t>chart to support rule of 85</w:t>
            </w:r>
            <w:r w:rsidR="00810E3C">
              <w:t xml:space="preserve">. </w:t>
            </w:r>
            <w:r w:rsidR="003C125F">
              <w:t>Text updated to remove extension of service requirements and incorporate provisions for back dated pay agreements, exit interviews made default rather than opt in.</w:t>
            </w:r>
          </w:p>
        </w:tc>
        <w:tc>
          <w:tcPr>
            <w:tcW w:w="1572" w:type="pct"/>
          </w:tcPr>
          <w:p w14:paraId="501EAC6A" w14:textId="1FA7026E" w:rsidR="000842CB" w:rsidRPr="00311B44" w:rsidRDefault="00C06469" w:rsidP="00E54103">
            <w:r>
              <w:t>26/06/2023</w:t>
            </w:r>
          </w:p>
        </w:tc>
      </w:tr>
    </w:tbl>
    <w:p w14:paraId="3F1E2F55" w14:textId="77777777" w:rsidR="000464A8" w:rsidRDefault="000464A8" w:rsidP="00DE77F5">
      <w:pPr>
        <w:spacing w:before="600"/>
        <w:rPr>
          <w:b/>
          <w:sz w:val="32"/>
        </w:rPr>
      </w:pPr>
      <w:bookmarkStart w:id="31" w:name="_Toc113378311"/>
      <w:r>
        <w:rPr>
          <w:b/>
          <w:sz w:val="32"/>
        </w:rPr>
        <w:br w:type="page"/>
      </w:r>
    </w:p>
    <w:p w14:paraId="0E87175E" w14:textId="790B3C88" w:rsidR="00DE77F5" w:rsidRPr="00DE77F5" w:rsidRDefault="00DE77F5" w:rsidP="00DE77F5">
      <w:pPr>
        <w:spacing w:before="600"/>
        <w:rPr>
          <w:b/>
          <w:sz w:val="32"/>
        </w:rPr>
      </w:pPr>
      <w:r w:rsidRPr="00DE77F5">
        <w:rPr>
          <w:b/>
          <w:sz w:val="32"/>
        </w:rPr>
        <w:lastRenderedPageBreak/>
        <w:t>Feedback</w:t>
      </w:r>
      <w:bookmarkEnd w:id="31"/>
    </w:p>
    <w:p w14:paraId="6F982020" w14:textId="4DE635AB" w:rsidR="00DE77F5" w:rsidRPr="00940BDB" w:rsidRDefault="00DE77F5" w:rsidP="00DE77F5">
      <w:pPr>
        <w:pStyle w:val="ParagraphContent"/>
      </w:pPr>
      <w:r w:rsidRPr="00940BDB">
        <w:t>All Po</w:t>
      </w:r>
      <w:r>
        <w:t xml:space="preserve">lice Scotland People Policies and </w:t>
      </w:r>
      <w:r w:rsidRPr="00AA7CEC">
        <w:t>Procedures are subject to regular</w:t>
      </w:r>
      <w:r w:rsidRPr="00940BDB">
        <w:t xml:space="preserve"> reviews. It is important that user feedback is </w:t>
      </w:r>
      <w:r w:rsidR="003C125F" w:rsidRPr="00940BDB">
        <w:t>considered</w:t>
      </w:r>
      <w:r w:rsidRPr="00940BDB">
        <w:t xml:space="preserve"> when documents are reviewed. </w:t>
      </w:r>
    </w:p>
    <w:p w14:paraId="6C3DE3AF" w14:textId="0E0F8C38" w:rsidR="00DE77F5" w:rsidRDefault="00DE77F5" w:rsidP="00DE77F5">
      <w:r w:rsidRPr="00940BDB">
        <w:t>If any</w:t>
      </w:r>
      <w:r>
        <w:t>one wants</w:t>
      </w:r>
      <w:r w:rsidRPr="00940BDB">
        <w:t xml:space="preserve"> to provide </w:t>
      </w:r>
      <w:r w:rsidR="003C125F" w:rsidRPr="00940BDB">
        <w:t>comment or</w:t>
      </w:r>
      <w:r w:rsidRPr="00940BDB">
        <w:t xml:space="preserve"> make sugge</w:t>
      </w:r>
      <w:r>
        <w:t>stions for improvements to this</w:t>
      </w:r>
      <w:r w:rsidRPr="00940BDB">
        <w:t xml:space="preserve"> or any associated document,</w:t>
      </w:r>
      <w:r>
        <w:t xml:space="preserve"> please email </w:t>
      </w:r>
      <w:r w:rsidR="00583520" w:rsidRPr="00583520">
        <w:rPr>
          <w:b/>
          <w:bCs/>
        </w:rPr>
        <w:t>[REDACTED]</w:t>
      </w:r>
      <w:r w:rsidR="00583520">
        <w:t>.</w:t>
      </w:r>
    </w:p>
    <w:p w14:paraId="2C0D1C9A" w14:textId="77777777" w:rsidR="00A51D17" w:rsidRDefault="00A51D17" w:rsidP="00862D12">
      <w:pPr>
        <w:pStyle w:val="Appendix"/>
      </w:pPr>
      <w:r>
        <w:br w:type="page"/>
      </w:r>
    </w:p>
    <w:p w14:paraId="613E41F0" w14:textId="2034FE51" w:rsidR="00862D12" w:rsidRPr="00795655" w:rsidRDefault="00862D12" w:rsidP="00862D12">
      <w:pPr>
        <w:pStyle w:val="Appendix"/>
      </w:pPr>
      <w:bookmarkStart w:id="32" w:name="_Toc137651122"/>
      <w:r w:rsidRPr="00795655">
        <w:lastRenderedPageBreak/>
        <w:t>Appendix A</w:t>
      </w:r>
      <w:bookmarkEnd w:id="32"/>
    </w:p>
    <w:p w14:paraId="0BC6EE68" w14:textId="6D0D7A33" w:rsidR="004C398A" w:rsidRDefault="003C125F" w:rsidP="004C398A">
      <w:pPr>
        <w:pStyle w:val="HowtoHeading"/>
      </w:pPr>
      <w:bookmarkStart w:id="33" w:name="_Toc137651123"/>
      <w:bookmarkEnd w:id="2"/>
      <w:r>
        <w:t>How to conduct an exit interview</w:t>
      </w:r>
      <w:bookmarkEnd w:id="33"/>
    </w:p>
    <w:p w14:paraId="4D2D5ED5" w14:textId="4AC02508" w:rsidR="004C398A" w:rsidRDefault="004C398A" w:rsidP="004C398A">
      <w:r>
        <w:t xml:space="preserve">Anyone asked to </w:t>
      </w:r>
      <w:r w:rsidR="00F26434">
        <w:t>conduct</w:t>
      </w:r>
      <w:r w:rsidR="00525FA9">
        <w:t xml:space="preserve"> a</w:t>
      </w:r>
      <w:r w:rsidR="003C125F">
        <w:t>n exit interview</w:t>
      </w:r>
      <w:r>
        <w:t xml:space="preserve"> needs to familiarise themselves with the process before doing so.</w:t>
      </w:r>
      <w:r w:rsidR="00206F83">
        <w:t xml:space="preserve"> </w:t>
      </w:r>
      <w:r>
        <w:t>The</w:t>
      </w:r>
      <w:r w:rsidR="00F26434">
        <w:t>se conversations</w:t>
      </w:r>
      <w:r>
        <w:t xml:space="preserve"> are too important to be done in a rush or half-heartedly.</w:t>
      </w:r>
      <w:r w:rsidR="00206F83">
        <w:t xml:space="preserve"> </w:t>
      </w:r>
      <w:r>
        <w:t>The task is to find out why someone is leaving, and what the respective</w:t>
      </w:r>
      <w:r w:rsidR="00525FA9">
        <w:t xml:space="preserve"> </w:t>
      </w:r>
      <w:r>
        <w:t xml:space="preserve">push </w:t>
      </w:r>
      <w:r w:rsidR="00525FA9">
        <w:t>and pull factors</w:t>
      </w:r>
      <w:r>
        <w:t xml:space="preserve"> are regarding:</w:t>
      </w:r>
    </w:p>
    <w:p w14:paraId="609BFCC0" w14:textId="16DB9CE1" w:rsidR="004C398A" w:rsidRPr="004C398A" w:rsidRDefault="004C398A" w:rsidP="006C3AE2">
      <w:pPr>
        <w:pStyle w:val="ListParagraph"/>
        <w:numPr>
          <w:ilvl w:val="0"/>
          <w:numId w:val="12"/>
        </w:numPr>
      </w:pPr>
      <w:r w:rsidRPr="004C398A">
        <w:t>The work itself</w:t>
      </w:r>
    </w:p>
    <w:p w14:paraId="01F23A92" w14:textId="77777777" w:rsidR="004C398A" w:rsidRDefault="004C398A" w:rsidP="006C3AE2">
      <w:pPr>
        <w:pStyle w:val="ListParagraph"/>
        <w:numPr>
          <w:ilvl w:val="0"/>
          <w:numId w:val="12"/>
        </w:numPr>
      </w:pPr>
      <w:r w:rsidRPr="004C398A">
        <w:t>The role of line managers/ supervisors</w:t>
      </w:r>
    </w:p>
    <w:p w14:paraId="4805FFD1" w14:textId="77777777" w:rsidR="004C398A" w:rsidRDefault="004C398A" w:rsidP="006C3AE2">
      <w:pPr>
        <w:pStyle w:val="ListParagraph"/>
        <w:numPr>
          <w:ilvl w:val="0"/>
          <w:numId w:val="12"/>
        </w:numPr>
      </w:pPr>
      <w:r w:rsidRPr="004C398A">
        <w:t>Professional development and progression</w:t>
      </w:r>
    </w:p>
    <w:p w14:paraId="1A906023" w14:textId="77777777" w:rsidR="004C398A" w:rsidRDefault="004C398A" w:rsidP="006C3AE2">
      <w:pPr>
        <w:pStyle w:val="ListParagraph"/>
        <w:numPr>
          <w:ilvl w:val="0"/>
          <w:numId w:val="12"/>
        </w:numPr>
      </w:pPr>
      <w:r w:rsidRPr="004C398A">
        <w:t>Organisation culture</w:t>
      </w:r>
    </w:p>
    <w:p w14:paraId="13FAFFF5" w14:textId="3E261808" w:rsidR="004C398A" w:rsidRDefault="004C398A" w:rsidP="006C3AE2">
      <w:pPr>
        <w:pStyle w:val="ListParagraph"/>
        <w:numPr>
          <w:ilvl w:val="0"/>
          <w:numId w:val="12"/>
        </w:numPr>
      </w:pPr>
      <w:r w:rsidRPr="004C398A">
        <w:t>Any learnings about the work environment including any innovation which otherwise</w:t>
      </w:r>
      <w:r>
        <w:t xml:space="preserve"> might be lost.</w:t>
      </w:r>
    </w:p>
    <w:p w14:paraId="041C6DE3" w14:textId="10285EA8" w:rsidR="0077003E" w:rsidRDefault="0077003E" w:rsidP="0077003E">
      <w:pPr>
        <w:ind w:left="360"/>
      </w:pPr>
      <w:r>
        <w:t xml:space="preserve">The interview structure and process </w:t>
      </w:r>
      <w:r w:rsidR="00206F83">
        <w:t>should</w:t>
      </w:r>
      <w:r>
        <w:t xml:space="preserve"> put the conversation centre stage, rather than </w:t>
      </w:r>
      <w:r w:rsidR="00206F83">
        <w:t xml:space="preserve">take a </w:t>
      </w:r>
      <w:r>
        <w:t xml:space="preserve">transactional approach </w:t>
      </w:r>
      <w:r w:rsidR="00206F83">
        <w:t>or</w:t>
      </w:r>
      <w:r>
        <w:t xml:space="preserve"> tone</w:t>
      </w:r>
      <w:r w:rsidR="00206F83">
        <w:t>. They should</w:t>
      </w:r>
      <w:r>
        <w:t xml:space="preserve"> aim to: </w:t>
      </w:r>
    </w:p>
    <w:p w14:paraId="29345DF1" w14:textId="34D32B11" w:rsidR="0077003E" w:rsidRDefault="0077003E" w:rsidP="002828EF">
      <w:pPr>
        <w:pStyle w:val="ListParagraph"/>
        <w:numPr>
          <w:ilvl w:val="0"/>
          <w:numId w:val="12"/>
        </w:numPr>
      </w:pPr>
      <w:r w:rsidRPr="0077003E">
        <w:t>Give the individual who wants to leave a voice and be heard, to ensure that they remain</w:t>
      </w:r>
      <w:r>
        <w:t xml:space="preserve"> </w:t>
      </w:r>
      <w:r w:rsidRPr="0077003E">
        <w:t>‘</w:t>
      </w:r>
      <w:r w:rsidR="00206F83" w:rsidRPr="0077003E">
        <w:t>ambassadors</w:t>
      </w:r>
      <w:r>
        <w:t>.</w:t>
      </w:r>
    </w:p>
    <w:p w14:paraId="0C7E8A15" w14:textId="77777777" w:rsidR="0077003E" w:rsidRDefault="0077003E" w:rsidP="00961906">
      <w:pPr>
        <w:pStyle w:val="ListParagraph"/>
        <w:numPr>
          <w:ilvl w:val="0"/>
          <w:numId w:val="12"/>
        </w:numPr>
      </w:pPr>
      <w:r w:rsidRPr="0077003E">
        <w:t>Initiate a feedforward process so that any relevant data is logged, any actions jointly</w:t>
      </w:r>
      <w:r>
        <w:t xml:space="preserve"> </w:t>
      </w:r>
      <w:r w:rsidRPr="0077003E">
        <w:t>agreed and evaluated in due course</w:t>
      </w:r>
      <w:r>
        <w:t>.</w:t>
      </w:r>
    </w:p>
    <w:p w14:paraId="7BF184B8" w14:textId="44515A78" w:rsidR="0077003E" w:rsidRDefault="0077003E" w:rsidP="00961906">
      <w:pPr>
        <w:pStyle w:val="ListParagraph"/>
        <w:numPr>
          <w:ilvl w:val="0"/>
          <w:numId w:val="12"/>
        </w:numPr>
      </w:pPr>
      <w:r w:rsidRPr="0077003E">
        <w:t xml:space="preserve">Discuss alternative options where </w:t>
      </w:r>
      <w:r w:rsidR="00206F83" w:rsidRPr="0077003E">
        <w:t>appropriate.</w:t>
      </w:r>
    </w:p>
    <w:p w14:paraId="624EDE59" w14:textId="77777777" w:rsidR="007C7546" w:rsidRDefault="007C7546" w:rsidP="007C7546">
      <w:pPr>
        <w:pStyle w:val="ListParagraph"/>
      </w:pPr>
    </w:p>
    <w:p w14:paraId="3F77147F" w14:textId="102B78DF" w:rsidR="004C398A" w:rsidRPr="007C7546" w:rsidRDefault="00525FA9" w:rsidP="007C7546">
      <w:r w:rsidRPr="0077003E">
        <w:rPr>
          <w:b/>
          <w:bCs/>
          <w:sz w:val="28"/>
          <w:szCs w:val="28"/>
        </w:rPr>
        <w:t>Who should do them</w:t>
      </w:r>
      <w:r w:rsidR="0077003E">
        <w:rPr>
          <w:b/>
          <w:bCs/>
          <w:sz w:val="28"/>
          <w:szCs w:val="28"/>
        </w:rPr>
        <w:t>?</w:t>
      </w:r>
    </w:p>
    <w:p w14:paraId="5276985D" w14:textId="2A8F8B5D" w:rsidR="004C398A" w:rsidRDefault="0077003E" w:rsidP="00BC7C36">
      <w:r>
        <w:t xml:space="preserve">Exit interviews </w:t>
      </w:r>
      <w:r w:rsidRPr="0077003E">
        <w:t xml:space="preserve">should be carried out by a suitable senior manager, usually the Area Commander/Head of Department. </w:t>
      </w:r>
      <w:r>
        <w:t xml:space="preserve">Ideally this should not be the </w:t>
      </w:r>
      <w:r w:rsidR="00DA746D">
        <w:t xml:space="preserve">individual’s </w:t>
      </w:r>
      <w:r w:rsidR="004C398A">
        <w:lastRenderedPageBreak/>
        <w:t xml:space="preserve">(current/last) line manager. Research tells us that perceptions and experiences of line management/supervision are a significant factor in voluntary resignations. </w:t>
      </w:r>
      <w:r w:rsidR="00A73A7F">
        <w:t>To</w:t>
      </w:r>
      <w:r w:rsidR="004C398A">
        <w:t xml:space="preserve"> create conditions for the leaver to provide honest feedback about their reasons for leaving, independence of the </w:t>
      </w:r>
      <w:r w:rsidR="00525FA9">
        <w:t xml:space="preserve">person </w:t>
      </w:r>
      <w:r w:rsidR="00206F83">
        <w:t>conducting the interview</w:t>
      </w:r>
      <w:r w:rsidR="004C398A">
        <w:t xml:space="preserve"> is critical.</w:t>
      </w:r>
    </w:p>
    <w:p w14:paraId="4FB47AD7" w14:textId="55F43DAB" w:rsidR="00DA746D" w:rsidRPr="00BC7C36" w:rsidRDefault="00206F83" w:rsidP="00BC7C36">
      <w:r>
        <w:t>Interviewers</w:t>
      </w:r>
      <w:r w:rsidR="004C398A">
        <w:t xml:space="preserve"> need to balance the collation of accurate information with a sensitive approach to listening, </w:t>
      </w:r>
      <w:r w:rsidR="00A30737">
        <w:t>reflecting,</w:t>
      </w:r>
      <w:r w:rsidR="004C398A">
        <w:t xml:space="preserve"> and adapting the </w:t>
      </w:r>
      <w:r w:rsidR="00525FA9">
        <w:t>meeting</w:t>
      </w:r>
      <w:r w:rsidR="004C398A">
        <w:t xml:space="preserve"> as needed. This is because there will be varied</w:t>
      </w:r>
      <w:r w:rsidR="00DA746D">
        <w:t xml:space="preserve"> </w:t>
      </w:r>
      <w:r w:rsidR="004C398A">
        <w:t xml:space="preserve">reasons for leaving. Some </w:t>
      </w:r>
      <w:r w:rsidR="00525FA9">
        <w:t>people</w:t>
      </w:r>
      <w:r w:rsidR="004C398A">
        <w:t xml:space="preserve"> might be emotional requiring sensitivity, listening without</w:t>
      </w:r>
      <w:r w:rsidR="00DA746D">
        <w:t xml:space="preserve"> </w:t>
      </w:r>
      <w:r w:rsidR="004C398A">
        <w:t>judgment and acknowledging individual experience.</w:t>
      </w:r>
    </w:p>
    <w:p w14:paraId="192E4A37" w14:textId="2736237F" w:rsidR="004C398A" w:rsidRDefault="004C398A" w:rsidP="00B747F2">
      <w:r>
        <w:t xml:space="preserve">Key attributes for the </w:t>
      </w:r>
      <w:r w:rsidR="00DA746D">
        <w:t>host</w:t>
      </w:r>
      <w:r>
        <w:t>:</w:t>
      </w:r>
    </w:p>
    <w:p w14:paraId="1FE1EF8E" w14:textId="75174626" w:rsidR="004C398A" w:rsidRPr="00A73A7F" w:rsidRDefault="004C398A" w:rsidP="006C3AE2">
      <w:pPr>
        <w:pStyle w:val="ListParagraph"/>
        <w:numPr>
          <w:ilvl w:val="0"/>
          <w:numId w:val="14"/>
        </w:numPr>
        <w:rPr>
          <w:rFonts w:cs="Arial"/>
        </w:rPr>
      </w:pPr>
      <w:r w:rsidRPr="00A73A7F">
        <w:rPr>
          <w:rFonts w:cs="Arial"/>
        </w:rPr>
        <w:t xml:space="preserve">Understanding of the </w:t>
      </w:r>
      <w:r w:rsidR="00525FA9" w:rsidRPr="00A73A7F">
        <w:rPr>
          <w:rFonts w:cs="Arial"/>
        </w:rPr>
        <w:t>meeting</w:t>
      </w:r>
      <w:r w:rsidRPr="00A73A7F">
        <w:rPr>
          <w:rFonts w:cs="Arial"/>
        </w:rPr>
        <w:t xml:space="preserve"> process</w:t>
      </w:r>
      <w:r w:rsidR="00A73A7F" w:rsidRPr="00A73A7F">
        <w:rPr>
          <w:rFonts w:cs="Arial"/>
        </w:rPr>
        <w:t>.</w:t>
      </w:r>
    </w:p>
    <w:p w14:paraId="27E3F856" w14:textId="48598F27" w:rsidR="004C398A" w:rsidRPr="00BC7C36" w:rsidRDefault="004C398A" w:rsidP="006C3AE2">
      <w:pPr>
        <w:pStyle w:val="ListParagraph"/>
        <w:numPr>
          <w:ilvl w:val="0"/>
          <w:numId w:val="14"/>
        </w:numPr>
      </w:pPr>
      <w:r w:rsidRPr="00A73A7F">
        <w:rPr>
          <w:rFonts w:cs="Arial"/>
        </w:rPr>
        <w:t>Active listening: showing engagement</w:t>
      </w:r>
      <w:r w:rsidRPr="00BC7C36">
        <w:t xml:space="preserve"> in the conversation, summarising and </w:t>
      </w:r>
      <w:r w:rsidR="00A73A7F" w:rsidRPr="00BC7C36">
        <w:t>reflecting</w:t>
      </w:r>
      <w:r w:rsidR="00DA746D" w:rsidRPr="00BC7C36">
        <w:t xml:space="preserve"> </w:t>
      </w:r>
      <w:r w:rsidRPr="00BC7C36">
        <w:t>(not interruption, or assuming)</w:t>
      </w:r>
    </w:p>
    <w:p w14:paraId="6AD5B798" w14:textId="2056C1AA" w:rsidR="004C398A" w:rsidRPr="00BC7C36" w:rsidRDefault="004C398A" w:rsidP="006C3AE2">
      <w:pPr>
        <w:pStyle w:val="ListParagraph"/>
        <w:numPr>
          <w:ilvl w:val="0"/>
          <w:numId w:val="14"/>
        </w:numPr>
        <w:rPr>
          <w:rFonts w:ascii="CIDFont+F2" w:hAnsi="CIDFont+F2" w:cs="CIDFont+F2"/>
        </w:rPr>
      </w:pPr>
      <w:r w:rsidRPr="00A73A7F">
        <w:rPr>
          <w:rFonts w:cs="Arial"/>
        </w:rPr>
        <w:t>Balancing a thorough approach to address all potential</w:t>
      </w:r>
      <w:r w:rsidRPr="00BC7C36">
        <w:t xml:space="preserve"> areas of concern with </w:t>
      </w:r>
      <w:r w:rsidRPr="00A73A7F">
        <w:rPr>
          <w:rFonts w:cs="Arial"/>
        </w:rPr>
        <w:t>flexibility and</w:t>
      </w:r>
      <w:r w:rsidR="00DA746D" w:rsidRPr="00A73A7F">
        <w:rPr>
          <w:rFonts w:cs="Arial"/>
        </w:rPr>
        <w:t xml:space="preserve"> </w:t>
      </w:r>
      <w:r w:rsidRPr="00A73A7F">
        <w:rPr>
          <w:rFonts w:cs="Arial"/>
        </w:rPr>
        <w:t>adaptability</w:t>
      </w:r>
      <w:r w:rsidRPr="00BC7C36">
        <w:rPr>
          <w:rFonts w:ascii="CIDFont+F2" w:hAnsi="CIDFont+F2" w:cs="CIDFont+F2"/>
        </w:rPr>
        <w:t xml:space="preserve"> </w:t>
      </w:r>
      <w:r w:rsidRPr="00BC7C36">
        <w:t xml:space="preserve">should some areas need to be discussed in more depth and with </w:t>
      </w:r>
      <w:r w:rsidR="00A73A7F" w:rsidRPr="00BC7C36">
        <w:t>priority.</w:t>
      </w:r>
    </w:p>
    <w:p w14:paraId="7976FC03" w14:textId="5EEEE334" w:rsidR="004C398A" w:rsidRPr="00A73A7F" w:rsidRDefault="004C398A" w:rsidP="006C3AE2">
      <w:pPr>
        <w:pStyle w:val="ListParagraph"/>
        <w:numPr>
          <w:ilvl w:val="0"/>
          <w:numId w:val="14"/>
        </w:numPr>
        <w:rPr>
          <w:rFonts w:cs="Arial"/>
        </w:rPr>
      </w:pPr>
      <w:r w:rsidRPr="00A73A7F">
        <w:rPr>
          <w:rFonts w:cs="Arial"/>
        </w:rPr>
        <w:t>Being able to record the key issues discussed accurately during and immediately after the</w:t>
      </w:r>
      <w:r w:rsidR="00DA746D" w:rsidRPr="00A73A7F">
        <w:rPr>
          <w:rFonts w:cs="Arial"/>
        </w:rPr>
        <w:t xml:space="preserve"> </w:t>
      </w:r>
      <w:r w:rsidR="00A73A7F" w:rsidRPr="00A73A7F">
        <w:rPr>
          <w:rFonts w:cs="Arial"/>
        </w:rPr>
        <w:t>interview.</w:t>
      </w:r>
    </w:p>
    <w:p w14:paraId="28AFD021" w14:textId="1A4F59D7" w:rsidR="004C398A" w:rsidRPr="00A73A7F" w:rsidRDefault="00206F83" w:rsidP="006C3AE2">
      <w:pPr>
        <w:pStyle w:val="ListParagraph"/>
        <w:numPr>
          <w:ilvl w:val="0"/>
          <w:numId w:val="14"/>
        </w:numPr>
        <w:rPr>
          <w:rFonts w:cs="Arial"/>
        </w:rPr>
      </w:pPr>
      <w:r>
        <w:rPr>
          <w:rFonts w:cs="Arial"/>
        </w:rPr>
        <w:t>C</w:t>
      </w:r>
      <w:r w:rsidR="004C398A" w:rsidRPr="00A73A7F">
        <w:rPr>
          <w:rFonts w:cs="Arial"/>
        </w:rPr>
        <w:t>ourage and authority to raise and refer any issues of concern such as disciplinary</w:t>
      </w:r>
      <w:r w:rsidR="00DA746D" w:rsidRPr="00A73A7F">
        <w:rPr>
          <w:rFonts w:cs="Arial"/>
        </w:rPr>
        <w:t xml:space="preserve"> </w:t>
      </w:r>
      <w:r w:rsidR="004C398A" w:rsidRPr="00A73A7F">
        <w:rPr>
          <w:rFonts w:cs="Arial"/>
        </w:rPr>
        <w:t>matters, failings in leadership/</w:t>
      </w:r>
      <w:r w:rsidR="00A73A7F" w:rsidRPr="00A73A7F">
        <w:rPr>
          <w:rFonts w:cs="Arial"/>
        </w:rPr>
        <w:t>management.</w:t>
      </w:r>
    </w:p>
    <w:p w14:paraId="0EF61CF4" w14:textId="4C68B30B" w:rsidR="00DA746D" w:rsidRPr="00BC7C36" w:rsidRDefault="004C398A" w:rsidP="006C3AE2">
      <w:pPr>
        <w:pStyle w:val="ListParagraph"/>
        <w:numPr>
          <w:ilvl w:val="0"/>
          <w:numId w:val="14"/>
        </w:numPr>
      </w:pPr>
      <w:r w:rsidRPr="00BC7C36">
        <w:t xml:space="preserve">Ability to identify </w:t>
      </w:r>
      <w:r w:rsidRPr="00206F83">
        <w:rPr>
          <w:rFonts w:cs="Arial"/>
        </w:rPr>
        <w:t>areas of good practice to support</w:t>
      </w:r>
      <w:r w:rsidRPr="00BC7C36">
        <w:t xml:space="preserve"> organisational </w:t>
      </w:r>
      <w:r w:rsidR="00A73A7F" w:rsidRPr="00BC7C36">
        <w:t>learning.</w:t>
      </w:r>
    </w:p>
    <w:p w14:paraId="46B08FF6" w14:textId="3537251D" w:rsidR="004C398A" w:rsidRDefault="004C398A" w:rsidP="00B747F2">
      <w:pPr>
        <w:pStyle w:val="Heading4"/>
      </w:pPr>
      <w:r>
        <w:t>Timing and Location</w:t>
      </w:r>
    </w:p>
    <w:p w14:paraId="683F67E6" w14:textId="766FC277" w:rsidR="004C398A" w:rsidRDefault="004C398A" w:rsidP="00BC7C36">
      <w:r>
        <w:t xml:space="preserve">In most cases, it is preferable to schedule the </w:t>
      </w:r>
      <w:r w:rsidR="00B747F2">
        <w:t>meeting</w:t>
      </w:r>
      <w:r>
        <w:t xml:space="preserve"> within 7-10 working days of notice being</w:t>
      </w:r>
      <w:r w:rsidR="00BC7C36">
        <w:t xml:space="preserve"> </w:t>
      </w:r>
      <w:r>
        <w:t>given to ensure that there is scope to initiate any actions and changes.</w:t>
      </w:r>
    </w:p>
    <w:p w14:paraId="12C17211" w14:textId="3039C220" w:rsidR="00DA746D" w:rsidRPr="00BC7C36" w:rsidRDefault="004C398A" w:rsidP="00BC7C36">
      <w:r>
        <w:t>Face to face interview</w:t>
      </w:r>
      <w:r w:rsidR="00206F83">
        <w:t>s</w:t>
      </w:r>
      <w:r>
        <w:t xml:space="preserve"> </w:t>
      </w:r>
      <w:r w:rsidR="002F7A35">
        <w:t>is</w:t>
      </w:r>
      <w:r>
        <w:t xml:space="preserve"> the most effective way to facilitate a </w:t>
      </w:r>
      <w:r w:rsidR="007C7546">
        <w:t>meaningful exit interview</w:t>
      </w:r>
      <w:r>
        <w:t xml:space="preserve"> and</w:t>
      </w:r>
      <w:r w:rsidR="00BC7C36">
        <w:t xml:space="preserve"> </w:t>
      </w:r>
      <w:r w:rsidR="00A73A7F">
        <w:t xml:space="preserve">should </w:t>
      </w:r>
      <w:r w:rsidR="00B747F2">
        <w:t>be around</w:t>
      </w:r>
      <w:r>
        <w:t xml:space="preserve"> an hour </w:t>
      </w:r>
      <w:r w:rsidR="00B747F2">
        <w:t>in length</w:t>
      </w:r>
      <w:r>
        <w:t xml:space="preserve">. Good practice would be to ask the </w:t>
      </w:r>
      <w:r>
        <w:lastRenderedPageBreak/>
        <w:t>in</w:t>
      </w:r>
      <w:r w:rsidR="00B747F2">
        <w:t>dividual for</w:t>
      </w:r>
      <w:r>
        <w:t xml:space="preserve"> their</w:t>
      </w:r>
      <w:r w:rsidR="00BC7C36">
        <w:t xml:space="preserve"> </w:t>
      </w:r>
      <w:r>
        <w:t xml:space="preserve">preferred date, </w:t>
      </w:r>
      <w:r w:rsidR="00A73A7F">
        <w:t>time,</w:t>
      </w:r>
      <w:r>
        <w:t xml:space="preserve"> and location of interview. Use of video-conferencing technology may help</w:t>
      </w:r>
      <w:r w:rsidR="00BC7C36">
        <w:t xml:space="preserve"> </w:t>
      </w:r>
      <w:r>
        <w:t xml:space="preserve">facilitate a 1-1 conversation at a time and location preferred by the </w:t>
      </w:r>
      <w:r w:rsidR="00B747F2">
        <w:t>person</w:t>
      </w:r>
      <w:r>
        <w:t xml:space="preserve"> which allows them</w:t>
      </w:r>
      <w:r w:rsidR="00BC7C36">
        <w:t xml:space="preserve"> </w:t>
      </w:r>
      <w:r w:rsidR="00A73A7F">
        <w:t>to speak</w:t>
      </w:r>
      <w:r>
        <w:t xml:space="preserve"> open</w:t>
      </w:r>
      <w:r w:rsidR="00A73A7F">
        <w:t>ly</w:t>
      </w:r>
      <w:r>
        <w:t xml:space="preserve"> and freely.</w:t>
      </w:r>
    </w:p>
    <w:p w14:paraId="32BD386E" w14:textId="52B9E902" w:rsidR="004C398A" w:rsidRDefault="004C398A" w:rsidP="00B747F2">
      <w:pPr>
        <w:pStyle w:val="Heading4"/>
      </w:pPr>
      <w:r>
        <w:t>Structure</w:t>
      </w:r>
    </w:p>
    <w:p w14:paraId="1EAB368C" w14:textId="417E489D" w:rsidR="004C398A" w:rsidRDefault="004C398A" w:rsidP="00BC7C36">
      <w:r w:rsidRPr="007774B7">
        <w:t xml:space="preserve">The </w:t>
      </w:r>
      <w:r w:rsidR="00206F83" w:rsidRPr="007774B7">
        <w:t>interview</w:t>
      </w:r>
      <w:r w:rsidRPr="007774B7">
        <w:t xml:space="preserve"> is </w:t>
      </w:r>
      <w:r w:rsidR="00206F83" w:rsidRPr="007774B7">
        <w:t xml:space="preserve">a </w:t>
      </w:r>
      <w:r w:rsidRPr="007774B7">
        <w:t xml:space="preserve">semi-structured </w:t>
      </w:r>
      <w:r w:rsidR="00BC7C36" w:rsidRPr="007774B7">
        <w:t>meeting</w:t>
      </w:r>
      <w:r w:rsidRPr="007774B7">
        <w:t xml:space="preserve"> with a mix of open questions, and more specific prompts</w:t>
      </w:r>
      <w:r w:rsidR="00BC7C36">
        <w:t xml:space="preserve"> </w:t>
      </w:r>
      <w:r>
        <w:t>which focus on different areas such as the</w:t>
      </w:r>
      <w:r w:rsidR="00B747F2">
        <w:t xml:space="preserve"> work itself, the line manager/</w:t>
      </w:r>
      <w:r>
        <w:t>supervisor and so on.</w:t>
      </w:r>
    </w:p>
    <w:p w14:paraId="2241BD36" w14:textId="23482E98" w:rsidR="00DA746D" w:rsidRPr="00A73A7F" w:rsidRDefault="004C398A" w:rsidP="00A73A7F">
      <w:r>
        <w:t xml:space="preserve">Without consistency, it is difficult to aggregate data. The </w:t>
      </w:r>
      <w:r w:rsidR="00BC7C36">
        <w:t>meeting</w:t>
      </w:r>
      <w:r>
        <w:t xml:space="preserve"> has an early prompt for</w:t>
      </w:r>
      <w:r w:rsidR="00BC7C36">
        <w:t xml:space="preserve"> </w:t>
      </w:r>
      <w:r>
        <w:t>possible solutions – this is important so that there is an opportunity to learn about what ‘good looks</w:t>
      </w:r>
      <w:r w:rsidR="00BC7C36">
        <w:t xml:space="preserve"> </w:t>
      </w:r>
      <w:r>
        <w:t>like’ which can inform any actions and changes.</w:t>
      </w:r>
    </w:p>
    <w:p w14:paraId="3EEC33D3" w14:textId="513EB299" w:rsidR="004C398A" w:rsidRDefault="004C398A" w:rsidP="00B747F2">
      <w:pPr>
        <w:pStyle w:val="Heading4"/>
      </w:pPr>
      <w:r>
        <w:t>Confidentiality and Distribution Plan</w:t>
      </w:r>
    </w:p>
    <w:p w14:paraId="4F047B96" w14:textId="0C466BA9" w:rsidR="00DA746D" w:rsidRPr="00206F83" w:rsidRDefault="004C398A" w:rsidP="00206F83">
      <w:r>
        <w:t xml:space="preserve">It needs to be clear to the </w:t>
      </w:r>
      <w:r w:rsidR="00B747F2">
        <w:t>individual</w:t>
      </w:r>
      <w:r>
        <w:t xml:space="preserve"> who will have access to the data</w:t>
      </w:r>
      <w:r w:rsidR="00206F83">
        <w:t xml:space="preserve">, </w:t>
      </w:r>
      <w:r>
        <w:t>in what form, and how</w:t>
      </w:r>
      <w:r w:rsidR="00BC7C36">
        <w:t xml:space="preserve"> </w:t>
      </w:r>
      <w:r>
        <w:t>any honest feedback will be protected</w:t>
      </w:r>
      <w:r w:rsidR="0026761E">
        <w:t xml:space="preserve">. All data captured for tracking or workforce trends will be anonymised in line with the </w:t>
      </w:r>
      <w:r w:rsidR="0026761E" w:rsidRPr="00583520">
        <w:t>Equality and Diversity Employment Monitoring Procedure</w:t>
      </w:r>
      <w:r w:rsidR="0026761E">
        <w:t xml:space="preserve"> and t</w:t>
      </w:r>
      <w:r>
        <w:t>his should be explicitly stated at the</w:t>
      </w:r>
      <w:r w:rsidR="00BC7C36">
        <w:t xml:space="preserve"> </w:t>
      </w:r>
      <w:r>
        <w:t>beginning of the interview</w:t>
      </w:r>
      <w:r w:rsidR="0026761E">
        <w:t xml:space="preserve"> with reference to the People and Development Privacy Notice.</w:t>
      </w:r>
      <w:r w:rsidR="00F42FC4">
        <w:t xml:space="preserve"> Once complete, Exit Interviews should be uploaded to People Direct for filing.</w:t>
      </w:r>
    </w:p>
    <w:p w14:paraId="555465C0" w14:textId="77777777" w:rsidR="00B33E29" w:rsidRDefault="00B33E29">
      <w:pPr>
        <w:spacing w:after="0"/>
        <w:ind w:firstLine="340"/>
        <w:rPr>
          <w:rFonts w:ascii="Arial Bold" w:eastAsia="Calibri" w:hAnsi="Arial Bold" w:cstheme="majorBidi"/>
          <w:b/>
          <w:sz w:val="32"/>
          <w:szCs w:val="26"/>
        </w:rPr>
      </w:pPr>
      <w:r>
        <w:rPr>
          <w:rFonts w:eastAsia="Calibri"/>
        </w:rPr>
        <w:br w:type="page"/>
      </w:r>
    </w:p>
    <w:p w14:paraId="774CAC6F" w14:textId="0F79F90F" w:rsidR="00350FFE" w:rsidRDefault="00E54103" w:rsidP="00350FFE">
      <w:pPr>
        <w:pStyle w:val="Appendix"/>
        <w:rPr>
          <w:rFonts w:eastAsia="Calibri"/>
        </w:rPr>
      </w:pPr>
      <w:bookmarkStart w:id="34" w:name="_Toc137651124"/>
      <w:r>
        <w:rPr>
          <w:rFonts w:eastAsia="Calibri"/>
        </w:rPr>
        <w:lastRenderedPageBreak/>
        <w:t>Appendix B</w:t>
      </w:r>
      <w:bookmarkEnd w:id="34"/>
    </w:p>
    <w:p w14:paraId="3BEF9314" w14:textId="68C8252D" w:rsidR="00350FFE" w:rsidRDefault="00E44967" w:rsidP="00350FFE">
      <w:pPr>
        <w:pStyle w:val="HowtoHeading"/>
        <w:rPr>
          <w:rFonts w:eastAsia="Calibri"/>
        </w:rPr>
      </w:pPr>
      <w:bookmarkStart w:id="35" w:name="_Toc137651125"/>
      <w:r>
        <w:rPr>
          <w:rFonts w:eastAsia="Calibri"/>
        </w:rPr>
        <w:t>Q</w:t>
      </w:r>
      <w:r w:rsidR="00350FFE">
        <w:rPr>
          <w:rFonts w:eastAsia="Calibri"/>
        </w:rPr>
        <w:t>uestions</w:t>
      </w:r>
      <w:r>
        <w:rPr>
          <w:rFonts w:eastAsia="Calibri"/>
        </w:rPr>
        <w:t xml:space="preserve"> and answers</w:t>
      </w:r>
      <w:bookmarkEnd w:id="35"/>
    </w:p>
    <w:p w14:paraId="7A556F8C" w14:textId="1F071F06" w:rsidR="00350FFE" w:rsidRDefault="00350FFE" w:rsidP="00350FFE">
      <w:pPr>
        <w:rPr>
          <w:rFonts w:cs="Arial"/>
          <w:b/>
        </w:rPr>
      </w:pPr>
      <w:r>
        <w:rPr>
          <w:rFonts w:cs="Arial"/>
          <w:b/>
        </w:rPr>
        <w:t>I am a police officer</w:t>
      </w:r>
      <w:r w:rsidR="001B0F25">
        <w:rPr>
          <w:rFonts w:cs="Arial"/>
          <w:b/>
        </w:rPr>
        <w:t xml:space="preserve"> and I want to resign from the S</w:t>
      </w:r>
      <w:r>
        <w:rPr>
          <w:rFonts w:cs="Arial"/>
          <w:b/>
        </w:rPr>
        <w:t>ervice. What happens to my pension?</w:t>
      </w:r>
    </w:p>
    <w:p w14:paraId="1E4A8C47" w14:textId="63A22C1D" w:rsidR="00350FFE" w:rsidRDefault="00880230" w:rsidP="00350FFE">
      <w:r w:rsidRPr="00880230">
        <w:t xml:space="preserve">Your pension is deferred in the scheme, when you resign, if you have over two years qualifying service. Further information </w:t>
      </w:r>
      <w:r w:rsidR="001B0F25">
        <w:t xml:space="preserve">on </w:t>
      </w:r>
      <w:hyperlink r:id="rId22" w:history="1">
        <w:r w:rsidR="001B0F25" w:rsidRPr="001B0F25">
          <w:rPr>
            <w:rStyle w:val="Hyperlink"/>
            <w:lang w:eastAsia="en-GB"/>
          </w:rPr>
          <w:t>opting out or leaving the police pension scheme</w:t>
        </w:r>
        <w:r w:rsidR="001B0F25" w:rsidRPr="001B0F25">
          <w:rPr>
            <w:rStyle w:val="Hyperlink"/>
          </w:rPr>
          <w:t xml:space="preserve"> </w:t>
        </w:r>
        <w:r w:rsidRPr="001B0F25">
          <w:rPr>
            <w:rStyle w:val="Hyperlink"/>
          </w:rPr>
          <w:t>can be found on the SPPA website</w:t>
        </w:r>
      </w:hyperlink>
      <w:r w:rsidR="00350FFE">
        <w:t>.</w:t>
      </w:r>
      <w:r w:rsidR="00CB04C2">
        <w:t xml:space="preserve"> </w:t>
      </w:r>
    </w:p>
    <w:p w14:paraId="69ABA7F2" w14:textId="5AF9E5FF" w:rsidR="00350FFE" w:rsidRDefault="00350FFE" w:rsidP="00350FFE">
      <w:pPr>
        <w:pStyle w:val="Heading4"/>
        <w:rPr>
          <w:rFonts w:eastAsia="Calibri"/>
        </w:rPr>
      </w:pPr>
      <w:r w:rsidRPr="00350FFE">
        <w:rPr>
          <w:rFonts w:eastAsia="Calibri"/>
        </w:rPr>
        <w:t>What happens if I re-join the Police Service as an Officer at a later date?</w:t>
      </w:r>
    </w:p>
    <w:p w14:paraId="6F1AD12C" w14:textId="77777777" w:rsidR="001B0F25" w:rsidRDefault="001B0F25" w:rsidP="001B0F25">
      <w:r>
        <w:t xml:space="preserve">Re-employment following retirement from the Police Pension Scheme (PPS) can have certain consequences and impact on the payment of pension. These are primarily: </w:t>
      </w:r>
    </w:p>
    <w:p w14:paraId="72D76723" w14:textId="77777777" w:rsidR="001B0F25" w:rsidRDefault="001B0F25" w:rsidP="001B0F25">
      <w:r>
        <w:t xml:space="preserve">1. Withdrawal of Pension – “Abatement” </w:t>
      </w:r>
    </w:p>
    <w:p w14:paraId="4C9CA81E" w14:textId="77777777" w:rsidR="001B0F25" w:rsidRDefault="001B0F25" w:rsidP="001B0F25">
      <w:r>
        <w:t xml:space="preserve">2. Protected Pension Age (PPS 1987 members only) </w:t>
      </w:r>
    </w:p>
    <w:p w14:paraId="3FF94CCA" w14:textId="79FF7BB5" w:rsidR="00350FFE" w:rsidRDefault="001B0F25" w:rsidP="001B0F25">
      <w:r>
        <w:t xml:space="preserve">The Scottish Public Pensions Agency have a </w:t>
      </w:r>
      <w:hyperlink r:id="rId23" w:history="1">
        <w:r w:rsidRPr="001B0F25">
          <w:rPr>
            <w:rStyle w:val="Hyperlink"/>
          </w:rPr>
          <w:t>re-employment factsheet that you can refer to</w:t>
        </w:r>
      </w:hyperlink>
      <w:r>
        <w:t xml:space="preserve">. </w:t>
      </w:r>
    </w:p>
    <w:p w14:paraId="3E73D54B" w14:textId="3F39D5EB" w:rsidR="00350FFE" w:rsidRDefault="00350FFE" w:rsidP="00350FFE">
      <w:pPr>
        <w:pStyle w:val="Heading4"/>
      </w:pPr>
      <w:r w:rsidRPr="00350FFE">
        <w:t xml:space="preserve">I am a retiring </w:t>
      </w:r>
      <w:r w:rsidR="002F7A35" w:rsidRPr="00350FFE">
        <w:t>Officer;</w:t>
      </w:r>
      <w:r w:rsidRPr="00350FFE">
        <w:t xml:space="preserve"> can I apply for a</w:t>
      </w:r>
      <w:r w:rsidR="001B0F25">
        <w:t>n</w:t>
      </w:r>
      <w:r w:rsidRPr="00350FFE">
        <w:t xml:space="preserve"> </w:t>
      </w:r>
      <w:r w:rsidR="00880230">
        <w:t>Authority/</w:t>
      </w:r>
      <w:r w:rsidRPr="00350FFE">
        <w:t>Police Staff vacancy?</w:t>
      </w:r>
    </w:p>
    <w:p w14:paraId="7C2E62A9" w14:textId="51529AC9" w:rsidR="008F41FD" w:rsidRDefault="00350FFE" w:rsidP="001B0F25">
      <w:r w:rsidRPr="00350FFE">
        <w:t xml:space="preserve">Yes, you can apply for any externally advertised vacancy. </w:t>
      </w:r>
      <w:r w:rsidR="001B0F25" w:rsidRPr="001B0F25">
        <w:t xml:space="preserve">There may be tax implications if you have accessed benefits from “the 1987” Police Pension Scheme </w:t>
      </w:r>
      <w:r w:rsidR="001B0F25">
        <w:t xml:space="preserve">Further information can be found on the </w:t>
      </w:r>
      <w:r w:rsidR="001B0F25" w:rsidRPr="00042669">
        <w:t>Scottish Public Pensions Agency website</w:t>
      </w:r>
      <w:r w:rsidR="00042669" w:rsidRPr="00042669">
        <w:t>,</w:t>
      </w:r>
      <w:r w:rsidR="00042669">
        <w:rPr>
          <w:rStyle w:val="Hyperlink"/>
        </w:rPr>
        <w:t xml:space="preserve"> </w:t>
      </w:r>
      <w:hyperlink r:id="rId24" w:history="1">
        <w:r w:rsidR="00042669">
          <w:rPr>
            <w:rStyle w:val="Hyperlink"/>
          </w:rPr>
          <w:t>Police Pension Schemes – Re-employment</w:t>
        </w:r>
      </w:hyperlink>
      <w:r w:rsidR="001B0F25">
        <w:t>.</w:t>
      </w:r>
    </w:p>
    <w:sectPr w:rsidR="008F41FD" w:rsidSect="00F22FD7">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86E7" w14:textId="77777777" w:rsidR="00A02A7F" w:rsidRDefault="00A02A7F" w:rsidP="009A13A9">
      <w:r>
        <w:separator/>
      </w:r>
    </w:p>
  </w:endnote>
  <w:endnote w:type="continuationSeparator" w:id="0">
    <w:p w14:paraId="03903A76" w14:textId="77777777" w:rsidR="00A02A7F" w:rsidRDefault="00A02A7F" w:rsidP="009A13A9">
      <w:r>
        <w:continuationSeparator/>
      </w:r>
    </w:p>
  </w:endnote>
  <w:endnote w:type="continuationNotice" w:id="1">
    <w:p w14:paraId="01B9E86F" w14:textId="77777777" w:rsidR="00A02A7F" w:rsidRDefault="00A02A7F"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E8FE" w14:textId="75094A88" w:rsidR="00A02A7F" w:rsidRDefault="00A02A7F" w:rsidP="008D71FD">
    <w:pPr>
      <w:pStyle w:val="Footer"/>
    </w:pPr>
  </w:p>
  <w:p w14:paraId="007D32C1" w14:textId="3C5AF25D" w:rsidR="00A02A7F" w:rsidRDefault="008D71FD" w:rsidP="008D71FD">
    <w:pPr>
      <w:pStyle w:val="Footer"/>
    </w:pPr>
    <w:r w:rsidRPr="008D71FD">
      <w:fldChar w:fldCharType="begin"/>
    </w:r>
    <w:r w:rsidRPr="008D71FD">
      <w:instrText xml:space="preserve"> DOCPROPERTY ClassificationMarking \* MERGEFORMAT </w:instrText>
    </w:r>
    <w:r w:rsidRPr="008D71FD">
      <w:fldChar w:fldCharType="separate"/>
    </w:r>
    <w:r w:rsidRPr="008D71FD">
      <w:rPr>
        <w:color w:val="FF0000"/>
      </w:rPr>
      <w:t>OFFICIAL</w:t>
    </w:r>
    <w:r w:rsidRPr="008D71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65FA" w14:textId="3B881452" w:rsidR="00A02A7F" w:rsidRPr="008D71FD" w:rsidRDefault="008D71FD" w:rsidP="008D71FD">
    <w:pPr>
      <w:pStyle w:val="Footer"/>
    </w:pPr>
    <w:r w:rsidRPr="008D71FD">
      <w:fldChar w:fldCharType="begin"/>
    </w:r>
    <w:r w:rsidRPr="008D71FD">
      <w:instrText xml:space="preserve"> DOCPROPERTY ClassificationMarking \* MERGEFORMAT </w:instrText>
    </w:r>
    <w:r w:rsidRPr="008D71FD">
      <w:fldChar w:fldCharType="separate"/>
    </w:r>
    <w:r w:rsidRPr="008D71FD">
      <w:rPr>
        <w:color w:val="FF0000"/>
      </w:rPr>
      <w:t>OFFICIAL</w:t>
    </w:r>
    <w:r w:rsidRPr="008D71FD">
      <w:fldChar w:fldCharType="end"/>
    </w:r>
  </w:p>
  <w:p w14:paraId="6EF2A8F9" w14:textId="26749130" w:rsidR="00A02A7F" w:rsidRPr="00F22FD7" w:rsidRDefault="00A02A7F" w:rsidP="00F22FD7">
    <w:pPr>
      <w:tabs>
        <w:tab w:val="left" w:pos="8505"/>
      </w:tabs>
      <w:rPr>
        <w:noProof/>
        <w:sz w:val="20"/>
      </w:rPr>
    </w:pPr>
    <w:r>
      <w:rPr>
        <w:sz w:val="20"/>
      </w:rPr>
      <w:t>V5</w:t>
    </w:r>
    <w:r w:rsidRPr="00584712">
      <w:rPr>
        <w:sz w:val="20"/>
      </w:rPr>
      <w:t>.00</w:t>
    </w:r>
    <w:r>
      <w:rPr>
        <w:sz w:val="20"/>
      </w:rPr>
      <w:tab/>
    </w:r>
    <w:r w:rsidRPr="00264B02">
      <w:rPr>
        <w:sz w:val="20"/>
      </w:rPr>
      <w:fldChar w:fldCharType="begin"/>
    </w:r>
    <w:r w:rsidRPr="00264B02">
      <w:rPr>
        <w:sz w:val="20"/>
      </w:rPr>
      <w:instrText xml:space="preserve"> PAGE   \* MERGEFORMAT </w:instrText>
    </w:r>
    <w:r w:rsidRPr="00264B02">
      <w:rPr>
        <w:sz w:val="20"/>
      </w:rPr>
      <w:fldChar w:fldCharType="separate"/>
    </w:r>
    <w:r w:rsidR="00BC7507">
      <w:rPr>
        <w:noProof/>
        <w:sz w:val="20"/>
      </w:rPr>
      <w:t>22</w:t>
    </w:r>
    <w:r w:rsidRPr="00264B02">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3CE5" w14:textId="50B793D3" w:rsidR="00A02A7F" w:rsidRDefault="00A02A7F" w:rsidP="00F22FD7">
    <w:pPr>
      <w:tabs>
        <w:tab w:val="left" w:pos="8505"/>
      </w:tabs>
      <w:jc w:val="center"/>
      <w:rPr>
        <w:sz w:val="20"/>
      </w:rPr>
    </w:pPr>
    <w:r w:rsidRPr="008D71FD">
      <w:rPr>
        <w:sz w:val="20"/>
      </w:rPr>
      <w:fldChar w:fldCharType="begin"/>
    </w:r>
    <w:r w:rsidRPr="008D71FD">
      <w:rPr>
        <w:sz w:val="20"/>
      </w:rPr>
      <w:instrText xml:space="preserve"> DOCPROPERTY ClassificationMarking \* MERGEFORMAT </w:instrText>
    </w:r>
    <w:r w:rsidRPr="008D71FD">
      <w:rPr>
        <w:sz w:val="20"/>
      </w:rPr>
      <w:fldChar w:fldCharType="separate"/>
    </w:r>
    <w:r w:rsidR="008D71FD" w:rsidRPr="008D71FD">
      <w:rPr>
        <w:rFonts w:ascii="Times New Roman" w:hAnsi="Times New Roman" w:cs="Times New Roman"/>
        <w:b/>
        <w:color w:val="FF0000"/>
      </w:rPr>
      <w:t>OFFICIAL</w:t>
    </w:r>
    <w:r w:rsidRPr="008D71FD">
      <w:rPr>
        <w:sz w:val="20"/>
      </w:rPr>
      <w:fldChar w:fldCharType="end"/>
    </w:r>
  </w:p>
  <w:p w14:paraId="1788CEE4" w14:textId="21EAC42B" w:rsidR="00A02A7F" w:rsidRPr="00584712" w:rsidRDefault="00A02A7F" w:rsidP="00332BD1">
    <w:pPr>
      <w:tabs>
        <w:tab w:val="left" w:pos="8505"/>
      </w:tabs>
      <w:rPr>
        <w:sz w:val="20"/>
      </w:rPr>
    </w:pPr>
    <w:r>
      <w:rPr>
        <w:sz w:val="20"/>
      </w:rPr>
      <w:t>V5.00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74E5" w14:textId="77777777" w:rsidR="00A02A7F" w:rsidRDefault="00A02A7F" w:rsidP="009A13A9">
      <w:r>
        <w:separator/>
      </w:r>
    </w:p>
  </w:footnote>
  <w:footnote w:type="continuationSeparator" w:id="0">
    <w:p w14:paraId="1B625B72" w14:textId="77777777" w:rsidR="00A02A7F" w:rsidRDefault="00A02A7F" w:rsidP="009A13A9">
      <w:r>
        <w:continuationSeparator/>
      </w:r>
    </w:p>
  </w:footnote>
  <w:footnote w:type="continuationNotice" w:id="1">
    <w:p w14:paraId="634FB50A" w14:textId="77777777" w:rsidR="00A02A7F" w:rsidRDefault="00A02A7F"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DF8E" w14:textId="37D71474" w:rsidR="00A02A7F" w:rsidRDefault="00A02A7F" w:rsidP="00F22FD7">
    <w:pPr>
      <w:pStyle w:val="Header"/>
      <w:jc w:val="center"/>
    </w:pPr>
    <w:r w:rsidRPr="008E4EC5">
      <w:rPr>
        <w:rFonts w:ascii="Times New Roman" w:hAnsi="Times New Roman" w:cs="Times New Roman"/>
        <w:b/>
      </w:rPr>
      <w:fldChar w:fldCharType="begin"/>
    </w:r>
    <w:r w:rsidRPr="008E4EC5">
      <w:rPr>
        <w:rFonts w:ascii="Times New Roman" w:hAnsi="Times New Roman" w:cs="Times New Roman"/>
        <w:b/>
      </w:rPr>
      <w:instrText xml:space="preserve"> DOCPROPERTY ClassificationMarking \* MERGEFORMAT </w:instrText>
    </w:r>
    <w:r w:rsidRPr="008E4EC5">
      <w:rPr>
        <w:rFonts w:ascii="Times New Roman" w:hAnsi="Times New Roman" w:cs="Times New Roman"/>
        <w:b/>
      </w:rPr>
      <w:fldChar w:fldCharType="separate"/>
    </w:r>
    <w:r w:rsidR="008D71FD" w:rsidRPr="008D71FD">
      <w:rPr>
        <w:rFonts w:ascii="Times New Roman" w:hAnsi="Times New Roman" w:cs="Times New Roman"/>
        <w:b/>
        <w:color w:val="FF0000"/>
      </w:rPr>
      <w:t>OFFICIAL</w:t>
    </w:r>
    <w:r w:rsidRPr="008E4EC5">
      <w:rPr>
        <w:rFonts w:ascii="Times New Roman" w:hAnsi="Times New Roman" w:cs="Times New Roman"/>
        <w:b/>
      </w:rPr>
      <w:fldChar w:fldCharType="end"/>
    </w:r>
  </w:p>
  <w:p w14:paraId="76A7D7B1" w14:textId="77777777" w:rsidR="00A02A7F" w:rsidRDefault="00A02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032C" w14:textId="29E6747B" w:rsidR="00A02A7F" w:rsidRPr="008D71FD" w:rsidRDefault="00A02A7F" w:rsidP="00F22FD7">
    <w:pPr>
      <w:pStyle w:val="Header"/>
      <w:jc w:val="center"/>
    </w:pPr>
    <w:r w:rsidRPr="008D71FD">
      <w:rPr>
        <w:rFonts w:ascii="Times New Roman" w:hAnsi="Times New Roman" w:cs="Times New Roman"/>
        <w:b/>
      </w:rPr>
      <w:fldChar w:fldCharType="begin"/>
    </w:r>
    <w:r w:rsidRPr="008D71FD">
      <w:rPr>
        <w:rFonts w:ascii="Times New Roman" w:hAnsi="Times New Roman" w:cs="Times New Roman"/>
        <w:b/>
      </w:rPr>
      <w:instrText xml:space="preserve"> DOCPROPERTY ClassificationMarking \* MERGEFORMAT </w:instrText>
    </w:r>
    <w:r w:rsidRPr="008D71FD">
      <w:rPr>
        <w:rFonts w:ascii="Times New Roman" w:hAnsi="Times New Roman" w:cs="Times New Roman"/>
        <w:b/>
      </w:rPr>
      <w:fldChar w:fldCharType="separate"/>
    </w:r>
    <w:r w:rsidR="008D71FD" w:rsidRPr="008D71FD">
      <w:rPr>
        <w:rFonts w:ascii="Times New Roman" w:hAnsi="Times New Roman" w:cs="Times New Roman"/>
        <w:b/>
        <w:color w:val="FF0000"/>
      </w:rPr>
      <w:t>OFFICIAL</w:t>
    </w:r>
    <w:r w:rsidRPr="008D71FD">
      <w:rPr>
        <w:rFonts w:ascii="Times New Roman" w:hAnsi="Times New Roman" w:cs="Times New Roman"/>
        <w: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0718" w14:textId="378970E6" w:rsidR="00A02A7F" w:rsidRPr="008D71FD" w:rsidRDefault="00A02A7F" w:rsidP="00C96594">
    <w:pPr>
      <w:pStyle w:val="Header"/>
      <w:jc w:val="center"/>
    </w:pPr>
    <w:r w:rsidRPr="008D71FD">
      <w:rPr>
        <w:rFonts w:ascii="Times New Roman" w:hAnsi="Times New Roman" w:cs="Times New Roman"/>
        <w:b/>
      </w:rPr>
      <w:fldChar w:fldCharType="begin"/>
    </w:r>
    <w:r w:rsidRPr="008D71FD">
      <w:rPr>
        <w:rFonts w:ascii="Times New Roman" w:hAnsi="Times New Roman" w:cs="Times New Roman"/>
        <w:b/>
      </w:rPr>
      <w:instrText xml:space="preserve"> DOCPROPERTY ClassificationMarking \* MERGEFORMAT </w:instrText>
    </w:r>
    <w:r w:rsidRPr="008D71FD">
      <w:rPr>
        <w:rFonts w:ascii="Times New Roman" w:hAnsi="Times New Roman" w:cs="Times New Roman"/>
        <w:b/>
      </w:rPr>
      <w:fldChar w:fldCharType="separate"/>
    </w:r>
    <w:r w:rsidR="008D71FD" w:rsidRPr="008D71FD">
      <w:rPr>
        <w:rFonts w:ascii="Times New Roman" w:hAnsi="Times New Roman" w:cs="Times New Roman"/>
        <w:b/>
        <w:color w:val="FF0000"/>
      </w:rPr>
      <w:t>OFFICIAL</w:t>
    </w:r>
    <w:r w:rsidRPr="008D71FD">
      <w:rPr>
        <w:rFonts w:ascii="Times New Roman" w:hAnsi="Times New Roman" w:cs="Times New Roman"/>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C0"/>
    <w:multiLevelType w:val="hybridMultilevel"/>
    <w:tmpl w:val="7DE8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507F"/>
    <w:multiLevelType w:val="hybridMultilevel"/>
    <w:tmpl w:val="7082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7053F"/>
    <w:multiLevelType w:val="hybridMultilevel"/>
    <w:tmpl w:val="0368E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DA423D"/>
    <w:multiLevelType w:val="hybridMultilevel"/>
    <w:tmpl w:val="A2EC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74425"/>
    <w:multiLevelType w:val="hybridMultilevel"/>
    <w:tmpl w:val="E1C4E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939B3"/>
    <w:multiLevelType w:val="hybridMultilevel"/>
    <w:tmpl w:val="86D4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71088"/>
    <w:multiLevelType w:val="hybridMultilevel"/>
    <w:tmpl w:val="10C6C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252601"/>
    <w:multiLevelType w:val="multilevel"/>
    <w:tmpl w:val="E36AF8FA"/>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132EC6"/>
    <w:multiLevelType w:val="hybridMultilevel"/>
    <w:tmpl w:val="268ADE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 w15:restartNumberingAfterBreak="0">
    <w:nsid w:val="2AB34492"/>
    <w:multiLevelType w:val="hybridMultilevel"/>
    <w:tmpl w:val="9FAAB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E9303E0"/>
    <w:multiLevelType w:val="hybridMultilevel"/>
    <w:tmpl w:val="CD2E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90A76"/>
    <w:multiLevelType w:val="hybridMultilevel"/>
    <w:tmpl w:val="11AE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51981"/>
    <w:multiLevelType w:val="hybridMultilevel"/>
    <w:tmpl w:val="5480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C3A20"/>
    <w:multiLevelType w:val="hybridMultilevel"/>
    <w:tmpl w:val="918897C8"/>
    <w:lvl w:ilvl="0" w:tplc="74463DC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E92431"/>
    <w:multiLevelType w:val="hybridMultilevel"/>
    <w:tmpl w:val="48CAE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6C9845E7"/>
    <w:multiLevelType w:val="hybridMultilevel"/>
    <w:tmpl w:val="BFEA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C637D"/>
    <w:multiLevelType w:val="hybridMultilevel"/>
    <w:tmpl w:val="EDC6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879734">
    <w:abstractNumId w:val="9"/>
  </w:num>
  <w:num w:numId="2" w16cid:durableId="599989849">
    <w:abstractNumId w:val="17"/>
  </w:num>
  <w:num w:numId="3" w16cid:durableId="1109818698">
    <w:abstractNumId w:val="10"/>
  </w:num>
  <w:num w:numId="4" w16cid:durableId="905265311">
    <w:abstractNumId w:val="7"/>
  </w:num>
  <w:num w:numId="5" w16cid:durableId="1136072086">
    <w:abstractNumId w:val="15"/>
  </w:num>
  <w:num w:numId="6" w16cid:durableId="1632325448">
    <w:abstractNumId w:val="13"/>
  </w:num>
  <w:num w:numId="7" w16cid:durableId="1312364037">
    <w:abstractNumId w:val="16"/>
  </w:num>
  <w:num w:numId="8" w16cid:durableId="1438524086">
    <w:abstractNumId w:val="14"/>
  </w:num>
  <w:num w:numId="9" w16cid:durableId="596596872">
    <w:abstractNumId w:val="6"/>
  </w:num>
  <w:num w:numId="10" w16cid:durableId="1870138553">
    <w:abstractNumId w:val="3"/>
  </w:num>
  <w:num w:numId="11" w16cid:durableId="241065309">
    <w:abstractNumId w:val="1"/>
  </w:num>
  <w:num w:numId="12" w16cid:durableId="1269700443">
    <w:abstractNumId w:val="4"/>
  </w:num>
  <w:num w:numId="13" w16cid:durableId="1217741713">
    <w:abstractNumId w:val="19"/>
  </w:num>
  <w:num w:numId="14" w16cid:durableId="1260479428">
    <w:abstractNumId w:val="12"/>
  </w:num>
  <w:num w:numId="15" w16cid:durableId="1419138463">
    <w:abstractNumId w:val="8"/>
  </w:num>
  <w:num w:numId="16" w16cid:durableId="304088978">
    <w:abstractNumId w:val="5"/>
  </w:num>
  <w:num w:numId="17" w16cid:durableId="685060482">
    <w:abstractNumId w:val="18"/>
  </w:num>
  <w:num w:numId="18" w16cid:durableId="766733652">
    <w:abstractNumId w:val="0"/>
  </w:num>
  <w:num w:numId="19" w16cid:durableId="342829444">
    <w:abstractNumId w:val="7"/>
  </w:num>
  <w:num w:numId="20" w16cid:durableId="1852526414">
    <w:abstractNumId w:val="7"/>
  </w:num>
  <w:num w:numId="21" w16cid:durableId="1920746691">
    <w:abstractNumId w:val="7"/>
  </w:num>
  <w:num w:numId="22" w16cid:durableId="1510289022">
    <w:abstractNumId w:val="7"/>
  </w:num>
  <w:num w:numId="23" w16cid:durableId="1497568670">
    <w:abstractNumId w:val="7"/>
  </w:num>
  <w:num w:numId="24" w16cid:durableId="1360669311">
    <w:abstractNumId w:val="7"/>
  </w:num>
  <w:num w:numId="25" w16cid:durableId="1177385949">
    <w:abstractNumId w:val="7"/>
  </w:num>
  <w:num w:numId="26" w16cid:durableId="1039932178">
    <w:abstractNumId w:val="7"/>
  </w:num>
  <w:num w:numId="27" w16cid:durableId="1924146169">
    <w:abstractNumId w:val="7"/>
  </w:num>
  <w:num w:numId="28" w16cid:durableId="1640765101">
    <w:abstractNumId w:val="7"/>
  </w:num>
  <w:num w:numId="29" w16cid:durableId="240912477">
    <w:abstractNumId w:val="7"/>
  </w:num>
  <w:num w:numId="30" w16cid:durableId="1416324576">
    <w:abstractNumId w:val="7"/>
  </w:num>
  <w:num w:numId="31" w16cid:durableId="859245934">
    <w:abstractNumId w:val="7"/>
  </w:num>
  <w:num w:numId="32" w16cid:durableId="541554560">
    <w:abstractNumId w:val="7"/>
  </w:num>
  <w:num w:numId="33" w16cid:durableId="1270897605">
    <w:abstractNumId w:val="7"/>
  </w:num>
  <w:num w:numId="34" w16cid:durableId="1505052432">
    <w:abstractNumId w:val="7"/>
  </w:num>
  <w:num w:numId="35" w16cid:durableId="1563372416">
    <w:abstractNumId w:val="7"/>
  </w:num>
  <w:num w:numId="36" w16cid:durableId="1951274694">
    <w:abstractNumId w:val="7"/>
  </w:num>
  <w:num w:numId="37" w16cid:durableId="2035958318">
    <w:abstractNumId w:val="7"/>
  </w:num>
  <w:num w:numId="38" w16cid:durableId="222103959">
    <w:abstractNumId w:val="7"/>
  </w:num>
  <w:num w:numId="39" w16cid:durableId="325088950">
    <w:abstractNumId w:val="7"/>
  </w:num>
  <w:num w:numId="40" w16cid:durableId="1512186717">
    <w:abstractNumId w:val="7"/>
  </w:num>
  <w:num w:numId="41" w16cid:durableId="1855412612">
    <w:abstractNumId w:val="7"/>
  </w:num>
  <w:num w:numId="42" w16cid:durableId="882865721">
    <w:abstractNumId w:val="7"/>
  </w:num>
  <w:num w:numId="43" w16cid:durableId="400643566">
    <w:abstractNumId w:val="7"/>
  </w:num>
  <w:num w:numId="44" w16cid:durableId="1112435609">
    <w:abstractNumId w:val="11"/>
  </w:num>
  <w:num w:numId="45" w16cid:durableId="17486481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06516"/>
    <w:rsid w:val="000132FC"/>
    <w:rsid w:val="00013C7F"/>
    <w:rsid w:val="00020CA5"/>
    <w:rsid w:val="00021981"/>
    <w:rsid w:val="0002386A"/>
    <w:rsid w:val="0004043C"/>
    <w:rsid w:val="00042669"/>
    <w:rsid w:val="00044ED4"/>
    <w:rsid w:val="000464A8"/>
    <w:rsid w:val="00046DDD"/>
    <w:rsid w:val="00047AC0"/>
    <w:rsid w:val="00057D8D"/>
    <w:rsid w:val="000656BC"/>
    <w:rsid w:val="00070378"/>
    <w:rsid w:val="000706AB"/>
    <w:rsid w:val="0007075E"/>
    <w:rsid w:val="00077D2D"/>
    <w:rsid w:val="000806DB"/>
    <w:rsid w:val="000842CB"/>
    <w:rsid w:val="000849B5"/>
    <w:rsid w:val="0008511A"/>
    <w:rsid w:val="00087A0E"/>
    <w:rsid w:val="00091005"/>
    <w:rsid w:val="000A5ACA"/>
    <w:rsid w:val="000C6729"/>
    <w:rsid w:val="000D09A0"/>
    <w:rsid w:val="000D121F"/>
    <w:rsid w:val="000D2E2E"/>
    <w:rsid w:val="000D371A"/>
    <w:rsid w:val="000E2A27"/>
    <w:rsid w:val="001107B3"/>
    <w:rsid w:val="0011747B"/>
    <w:rsid w:val="00133B94"/>
    <w:rsid w:val="00134294"/>
    <w:rsid w:val="001366C1"/>
    <w:rsid w:val="00147CCB"/>
    <w:rsid w:val="00152AA5"/>
    <w:rsid w:val="00167046"/>
    <w:rsid w:val="00171FDE"/>
    <w:rsid w:val="00174868"/>
    <w:rsid w:val="00181895"/>
    <w:rsid w:val="001912BD"/>
    <w:rsid w:val="001A0386"/>
    <w:rsid w:val="001A0F7D"/>
    <w:rsid w:val="001A7213"/>
    <w:rsid w:val="001A7F34"/>
    <w:rsid w:val="001B0F25"/>
    <w:rsid w:val="001B5DF4"/>
    <w:rsid w:val="001B79F8"/>
    <w:rsid w:val="001C4625"/>
    <w:rsid w:val="001D2C99"/>
    <w:rsid w:val="001D5F45"/>
    <w:rsid w:val="001E46F1"/>
    <w:rsid w:val="001E7677"/>
    <w:rsid w:val="001F3E33"/>
    <w:rsid w:val="001F498A"/>
    <w:rsid w:val="00206F83"/>
    <w:rsid w:val="00217012"/>
    <w:rsid w:val="00226A2A"/>
    <w:rsid w:val="0023476C"/>
    <w:rsid w:val="002401CF"/>
    <w:rsid w:val="002433F2"/>
    <w:rsid w:val="00264B02"/>
    <w:rsid w:val="0026761E"/>
    <w:rsid w:val="00277557"/>
    <w:rsid w:val="002925DF"/>
    <w:rsid w:val="002A50FE"/>
    <w:rsid w:val="002B1AEA"/>
    <w:rsid w:val="002C2CD5"/>
    <w:rsid w:val="002C4779"/>
    <w:rsid w:val="002C7049"/>
    <w:rsid w:val="002C7FC8"/>
    <w:rsid w:val="002E2206"/>
    <w:rsid w:val="002F067C"/>
    <w:rsid w:val="002F6ECF"/>
    <w:rsid w:val="002F7689"/>
    <w:rsid w:val="002F7A35"/>
    <w:rsid w:val="00326CFF"/>
    <w:rsid w:val="00332BD1"/>
    <w:rsid w:val="00341811"/>
    <w:rsid w:val="00350FFE"/>
    <w:rsid w:val="0035778A"/>
    <w:rsid w:val="003715DC"/>
    <w:rsid w:val="00373B57"/>
    <w:rsid w:val="003850BD"/>
    <w:rsid w:val="00385E2A"/>
    <w:rsid w:val="00390927"/>
    <w:rsid w:val="003972AF"/>
    <w:rsid w:val="003B5D8F"/>
    <w:rsid w:val="003B684F"/>
    <w:rsid w:val="003C125F"/>
    <w:rsid w:val="003E459D"/>
    <w:rsid w:val="003E7FF4"/>
    <w:rsid w:val="00402381"/>
    <w:rsid w:val="004071E6"/>
    <w:rsid w:val="00415E94"/>
    <w:rsid w:val="0042357D"/>
    <w:rsid w:val="004237D0"/>
    <w:rsid w:val="00423D5C"/>
    <w:rsid w:val="00427849"/>
    <w:rsid w:val="00436584"/>
    <w:rsid w:val="004528AF"/>
    <w:rsid w:val="004612C5"/>
    <w:rsid w:val="00467E4C"/>
    <w:rsid w:val="00474CC2"/>
    <w:rsid w:val="0048446F"/>
    <w:rsid w:val="00484767"/>
    <w:rsid w:val="00494912"/>
    <w:rsid w:val="00494DCF"/>
    <w:rsid w:val="004C398A"/>
    <w:rsid w:val="004D7498"/>
    <w:rsid w:val="004D7E44"/>
    <w:rsid w:val="00510496"/>
    <w:rsid w:val="005171C9"/>
    <w:rsid w:val="005231B5"/>
    <w:rsid w:val="00525FA9"/>
    <w:rsid w:val="0054044C"/>
    <w:rsid w:val="005414AC"/>
    <w:rsid w:val="005610AE"/>
    <w:rsid w:val="00564355"/>
    <w:rsid w:val="005665EA"/>
    <w:rsid w:val="0057289E"/>
    <w:rsid w:val="00575214"/>
    <w:rsid w:val="00583520"/>
    <w:rsid w:val="00584712"/>
    <w:rsid w:val="0059450E"/>
    <w:rsid w:val="00594B6C"/>
    <w:rsid w:val="00597533"/>
    <w:rsid w:val="005B36D7"/>
    <w:rsid w:val="005C0D4C"/>
    <w:rsid w:val="005C1EEE"/>
    <w:rsid w:val="005C6FC3"/>
    <w:rsid w:val="005D0111"/>
    <w:rsid w:val="005D02F3"/>
    <w:rsid w:val="005D0F62"/>
    <w:rsid w:val="005F0AF9"/>
    <w:rsid w:val="00610FBA"/>
    <w:rsid w:val="006124A9"/>
    <w:rsid w:val="006158E0"/>
    <w:rsid w:val="00615BA1"/>
    <w:rsid w:val="00627CD5"/>
    <w:rsid w:val="00630F87"/>
    <w:rsid w:val="00635C55"/>
    <w:rsid w:val="00645555"/>
    <w:rsid w:val="0065558A"/>
    <w:rsid w:val="00656A5E"/>
    <w:rsid w:val="0066293B"/>
    <w:rsid w:val="00664703"/>
    <w:rsid w:val="00676761"/>
    <w:rsid w:val="0067705C"/>
    <w:rsid w:val="00681582"/>
    <w:rsid w:val="006832E3"/>
    <w:rsid w:val="006C2F4F"/>
    <w:rsid w:val="006C3AE2"/>
    <w:rsid w:val="006D4AF7"/>
    <w:rsid w:val="006E26A4"/>
    <w:rsid w:val="006F4D29"/>
    <w:rsid w:val="00705C71"/>
    <w:rsid w:val="007240CD"/>
    <w:rsid w:val="0074185F"/>
    <w:rsid w:val="00746D7E"/>
    <w:rsid w:val="00747814"/>
    <w:rsid w:val="00752E0C"/>
    <w:rsid w:val="00757C92"/>
    <w:rsid w:val="00765603"/>
    <w:rsid w:val="0077003E"/>
    <w:rsid w:val="007774B7"/>
    <w:rsid w:val="00795655"/>
    <w:rsid w:val="007972A4"/>
    <w:rsid w:val="007A2444"/>
    <w:rsid w:val="007C2413"/>
    <w:rsid w:val="007C6A95"/>
    <w:rsid w:val="007C7546"/>
    <w:rsid w:val="007D383D"/>
    <w:rsid w:val="007D64DC"/>
    <w:rsid w:val="007F09FC"/>
    <w:rsid w:val="007F4AD1"/>
    <w:rsid w:val="007F7D73"/>
    <w:rsid w:val="00807523"/>
    <w:rsid w:val="00810E3C"/>
    <w:rsid w:val="00816DF4"/>
    <w:rsid w:val="00820A50"/>
    <w:rsid w:val="00826DE8"/>
    <w:rsid w:val="00830F37"/>
    <w:rsid w:val="00862D12"/>
    <w:rsid w:val="008767DD"/>
    <w:rsid w:val="00880230"/>
    <w:rsid w:val="00886CB2"/>
    <w:rsid w:val="00887C3F"/>
    <w:rsid w:val="008A3CBF"/>
    <w:rsid w:val="008A5C39"/>
    <w:rsid w:val="008A6764"/>
    <w:rsid w:val="008A7040"/>
    <w:rsid w:val="008B5036"/>
    <w:rsid w:val="008B5676"/>
    <w:rsid w:val="008C4E97"/>
    <w:rsid w:val="008D0E2E"/>
    <w:rsid w:val="008D71FD"/>
    <w:rsid w:val="008E26D2"/>
    <w:rsid w:val="008E4EC5"/>
    <w:rsid w:val="008F41FD"/>
    <w:rsid w:val="008F5CE1"/>
    <w:rsid w:val="00906585"/>
    <w:rsid w:val="0091318E"/>
    <w:rsid w:val="00920968"/>
    <w:rsid w:val="00921F60"/>
    <w:rsid w:val="009246D3"/>
    <w:rsid w:val="00932FFC"/>
    <w:rsid w:val="0094389C"/>
    <w:rsid w:val="00960927"/>
    <w:rsid w:val="00961582"/>
    <w:rsid w:val="00972519"/>
    <w:rsid w:val="0098110B"/>
    <w:rsid w:val="009965F5"/>
    <w:rsid w:val="009A13A9"/>
    <w:rsid w:val="009A212B"/>
    <w:rsid w:val="009D1ABC"/>
    <w:rsid w:val="009E5D59"/>
    <w:rsid w:val="009F2164"/>
    <w:rsid w:val="009F2CB3"/>
    <w:rsid w:val="009F2DC1"/>
    <w:rsid w:val="009F339B"/>
    <w:rsid w:val="00A01BE6"/>
    <w:rsid w:val="00A02A7F"/>
    <w:rsid w:val="00A30737"/>
    <w:rsid w:val="00A335FA"/>
    <w:rsid w:val="00A4325A"/>
    <w:rsid w:val="00A46FA3"/>
    <w:rsid w:val="00A471FF"/>
    <w:rsid w:val="00A51D17"/>
    <w:rsid w:val="00A53A4A"/>
    <w:rsid w:val="00A54791"/>
    <w:rsid w:val="00A54A7D"/>
    <w:rsid w:val="00A6113D"/>
    <w:rsid w:val="00A63B10"/>
    <w:rsid w:val="00A646AC"/>
    <w:rsid w:val="00A65751"/>
    <w:rsid w:val="00A73A7F"/>
    <w:rsid w:val="00AA3D34"/>
    <w:rsid w:val="00AB03B4"/>
    <w:rsid w:val="00AB046B"/>
    <w:rsid w:val="00AC2E40"/>
    <w:rsid w:val="00AC70EB"/>
    <w:rsid w:val="00AD0DAB"/>
    <w:rsid w:val="00B13C8E"/>
    <w:rsid w:val="00B15959"/>
    <w:rsid w:val="00B22772"/>
    <w:rsid w:val="00B262AF"/>
    <w:rsid w:val="00B33E29"/>
    <w:rsid w:val="00B4344E"/>
    <w:rsid w:val="00B73549"/>
    <w:rsid w:val="00B747F2"/>
    <w:rsid w:val="00B8536A"/>
    <w:rsid w:val="00BA21F9"/>
    <w:rsid w:val="00BC7507"/>
    <w:rsid w:val="00BC7C36"/>
    <w:rsid w:val="00BD2392"/>
    <w:rsid w:val="00BD65C1"/>
    <w:rsid w:val="00C00459"/>
    <w:rsid w:val="00C06469"/>
    <w:rsid w:val="00C113FD"/>
    <w:rsid w:val="00C354D4"/>
    <w:rsid w:val="00C36A43"/>
    <w:rsid w:val="00C44326"/>
    <w:rsid w:val="00C45BB1"/>
    <w:rsid w:val="00C56E6D"/>
    <w:rsid w:val="00C802AA"/>
    <w:rsid w:val="00C82FE3"/>
    <w:rsid w:val="00C84880"/>
    <w:rsid w:val="00C909C8"/>
    <w:rsid w:val="00C93647"/>
    <w:rsid w:val="00C96594"/>
    <w:rsid w:val="00CA296D"/>
    <w:rsid w:val="00CA77A6"/>
    <w:rsid w:val="00CA77E9"/>
    <w:rsid w:val="00CB04C2"/>
    <w:rsid w:val="00CB3E22"/>
    <w:rsid w:val="00CC0B63"/>
    <w:rsid w:val="00CC7777"/>
    <w:rsid w:val="00CD3BBE"/>
    <w:rsid w:val="00CE0C27"/>
    <w:rsid w:val="00CF400E"/>
    <w:rsid w:val="00D01940"/>
    <w:rsid w:val="00D023DA"/>
    <w:rsid w:val="00D215DD"/>
    <w:rsid w:val="00D21BF6"/>
    <w:rsid w:val="00D23F35"/>
    <w:rsid w:val="00D27F4F"/>
    <w:rsid w:val="00D65210"/>
    <w:rsid w:val="00D6576A"/>
    <w:rsid w:val="00D65C05"/>
    <w:rsid w:val="00D715A5"/>
    <w:rsid w:val="00D84309"/>
    <w:rsid w:val="00DA746D"/>
    <w:rsid w:val="00DD0A6C"/>
    <w:rsid w:val="00DD2510"/>
    <w:rsid w:val="00DD2666"/>
    <w:rsid w:val="00DE77F5"/>
    <w:rsid w:val="00E13FE3"/>
    <w:rsid w:val="00E34CBC"/>
    <w:rsid w:val="00E44967"/>
    <w:rsid w:val="00E461E6"/>
    <w:rsid w:val="00E51245"/>
    <w:rsid w:val="00E54103"/>
    <w:rsid w:val="00E910E7"/>
    <w:rsid w:val="00EA7949"/>
    <w:rsid w:val="00EB25F3"/>
    <w:rsid w:val="00EB649C"/>
    <w:rsid w:val="00EC18E7"/>
    <w:rsid w:val="00EC3F8E"/>
    <w:rsid w:val="00EC421E"/>
    <w:rsid w:val="00EC4A41"/>
    <w:rsid w:val="00ED0C77"/>
    <w:rsid w:val="00ED79AD"/>
    <w:rsid w:val="00EE3184"/>
    <w:rsid w:val="00F012D4"/>
    <w:rsid w:val="00F03D31"/>
    <w:rsid w:val="00F05EF1"/>
    <w:rsid w:val="00F15D4C"/>
    <w:rsid w:val="00F22FD7"/>
    <w:rsid w:val="00F262E6"/>
    <w:rsid w:val="00F26434"/>
    <w:rsid w:val="00F30DF7"/>
    <w:rsid w:val="00F42FC4"/>
    <w:rsid w:val="00F438AF"/>
    <w:rsid w:val="00F460C9"/>
    <w:rsid w:val="00F479EE"/>
    <w:rsid w:val="00F51ADC"/>
    <w:rsid w:val="00FA3E29"/>
    <w:rsid w:val="00FC5642"/>
    <w:rsid w:val="00FD1894"/>
    <w:rsid w:val="00FD2A5B"/>
    <w:rsid w:val="00FD5F4A"/>
    <w:rsid w:val="00FE1F3A"/>
    <w:rsid w:val="00FF5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43FA3B22"/>
  <w15:chartTrackingRefBased/>
  <w15:docId w15:val="{5816DCC3-6656-41C8-9ECC-5A0D33FA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0656BC"/>
    <w:pPr>
      <w:spacing w:after="200"/>
      <w:ind w:firstLine="0"/>
    </w:pPr>
  </w:style>
  <w:style w:type="paragraph" w:styleId="Heading1">
    <w:name w:val="heading 1"/>
    <w:next w:val="Normal"/>
    <w:link w:val="Heading1Char"/>
    <w:autoRedefine/>
    <w:uiPriority w:val="1"/>
    <w:qFormat/>
    <w:rsid w:val="00A335FA"/>
    <w:pPr>
      <w:widowControl w:val="0"/>
      <w:spacing w:before="18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0656BC"/>
    <w:pPr>
      <w:keepNext/>
      <w:keepLines/>
      <w:numPr>
        <w:numId w:val="4"/>
      </w:numPr>
      <w:spacing w:before="600" w:after="200"/>
      <w:ind w:left="357" w:hanging="357"/>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0656BC"/>
    <w:pPr>
      <w:widowControl w:val="0"/>
      <w:numPr>
        <w:ilvl w:val="1"/>
        <w:numId w:val="4"/>
      </w:numPr>
      <w:spacing w:before="600" w:after="200"/>
      <w:contextualSpacing/>
      <w:outlineLvl w:val="2"/>
    </w:pPr>
    <w:rPr>
      <w:rFonts w:ascii="Arial Bold" w:eastAsiaTheme="majorEastAsia" w:hAnsi="Arial Bold" w:cstheme="majorBidi"/>
      <w:b/>
      <w:sz w:val="28"/>
      <w:szCs w:val="26"/>
    </w:rPr>
  </w:style>
  <w:style w:type="paragraph" w:styleId="Heading4">
    <w:name w:val="heading 4"/>
    <w:basedOn w:val="Normal"/>
    <w:next w:val="Normal"/>
    <w:link w:val="Heading4Char"/>
    <w:autoRedefine/>
    <w:uiPriority w:val="4"/>
    <w:qFormat/>
    <w:rsid w:val="000656BC"/>
    <w:pPr>
      <w:keepNext/>
      <w:keepLines/>
      <w:spacing w:before="60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35FA"/>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0656BC"/>
    <w:rPr>
      <w:rFonts w:ascii="Arial Bold" w:eastAsiaTheme="majorEastAsia" w:hAnsi="Arial Bold" w:cstheme="majorBidi"/>
      <w:b/>
      <w:sz w:val="28"/>
      <w:szCs w:val="26"/>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0656BC"/>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0656BC"/>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1D2C99"/>
    <w:pPr>
      <w:spacing w:after="100"/>
      <w:ind w:left="240"/>
    </w:pPr>
  </w:style>
  <w:style w:type="paragraph" w:styleId="TOC3">
    <w:name w:val="toc 3"/>
    <w:basedOn w:val="Normal"/>
    <w:next w:val="Normal"/>
    <w:autoRedefine/>
    <w:uiPriority w:val="39"/>
    <w:rsid w:val="001D2C99"/>
    <w:pPr>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8D71FD"/>
    <w:pPr>
      <w:tabs>
        <w:tab w:val="right" w:pos="9026"/>
      </w:tabs>
      <w:jc w:val="center"/>
    </w:pPr>
    <w:rPr>
      <w:rFonts w:ascii="Times New Roman" w:hAnsi="Times New Roman" w:cs="Times New Roman"/>
      <w:b/>
    </w:rPr>
  </w:style>
  <w:style w:type="character" w:customStyle="1" w:styleId="FooterChar">
    <w:name w:val="Footer Char"/>
    <w:basedOn w:val="DefaultParagraphFont"/>
    <w:link w:val="Footer"/>
    <w:uiPriority w:val="99"/>
    <w:rsid w:val="008D71FD"/>
    <w:rPr>
      <w:rFonts w:ascii="Times New Roman" w:hAnsi="Times New Roman" w:cs="Times New Roman"/>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5F0AF9"/>
    <w:pPr>
      <w:numPr>
        <w:ilvl w:val="0"/>
        <w:numId w:val="0"/>
      </w:numPr>
    </w:pPr>
  </w:style>
  <w:style w:type="character" w:customStyle="1" w:styleId="HowtoHeadingChar">
    <w:name w:val="How to Heading Char"/>
    <w:basedOn w:val="DefaultParagraphFont"/>
    <w:link w:val="HowtoHeading"/>
    <w:uiPriority w:val="5"/>
    <w:rsid w:val="005F0AF9"/>
    <w:rPr>
      <w:rFonts w:ascii="Arial Bold" w:eastAsiaTheme="majorEastAsia" w:hAnsi="Arial Bold" w:cstheme="majorBidi"/>
      <w:b/>
      <w:sz w:val="28"/>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DE77F5"/>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5F0AF9"/>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table" w:customStyle="1" w:styleId="TableGridLight1">
    <w:name w:val="Table Grid Light1"/>
    <w:basedOn w:val="TableNormal"/>
    <w:next w:val="TableGridLight"/>
    <w:uiPriority w:val="40"/>
    <w:rsid w:val="00494DCF"/>
    <w:pPr>
      <w:spacing w:before="0" w:line="240" w:lineRule="auto"/>
      <w:ind w:firstLine="0"/>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94DCF"/>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1E7677"/>
    <w:rPr>
      <w:sz w:val="16"/>
      <w:szCs w:val="16"/>
    </w:rPr>
  </w:style>
  <w:style w:type="paragraph" w:styleId="CommentText">
    <w:name w:val="annotation text"/>
    <w:basedOn w:val="Normal"/>
    <w:link w:val="CommentTextChar"/>
    <w:uiPriority w:val="99"/>
    <w:semiHidden/>
    <w:rsid w:val="001E7677"/>
    <w:pPr>
      <w:spacing w:line="240" w:lineRule="auto"/>
    </w:pPr>
    <w:rPr>
      <w:sz w:val="20"/>
      <w:szCs w:val="20"/>
    </w:rPr>
  </w:style>
  <w:style w:type="character" w:customStyle="1" w:styleId="CommentTextChar">
    <w:name w:val="Comment Text Char"/>
    <w:basedOn w:val="DefaultParagraphFont"/>
    <w:link w:val="CommentText"/>
    <w:uiPriority w:val="99"/>
    <w:semiHidden/>
    <w:rsid w:val="001E7677"/>
    <w:rPr>
      <w:sz w:val="20"/>
      <w:szCs w:val="20"/>
    </w:rPr>
  </w:style>
  <w:style w:type="paragraph" w:styleId="CommentSubject">
    <w:name w:val="annotation subject"/>
    <w:basedOn w:val="CommentText"/>
    <w:next w:val="CommentText"/>
    <w:link w:val="CommentSubjectChar"/>
    <w:uiPriority w:val="99"/>
    <w:semiHidden/>
    <w:rsid w:val="001E7677"/>
    <w:rPr>
      <w:b/>
      <w:bCs/>
    </w:rPr>
  </w:style>
  <w:style w:type="character" w:customStyle="1" w:styleId="CommentSubjectChar">
    <w:name w:val="Comment Subject Char"/>
    <w:basedOn w:val="CommentTextChar"/>
    <w:link w:val="CommentSubject"/>
    <w:uiPriority w:val="99"/>
    <w:semiHidden/>
    <w:rsid w:val="001E7677"/>
    <w:rPr>
      <w:b/>
      <w:bCs/>
      <w:sz w:val="20"/>
      <w:szCs w:val="20"/>
    </w:rPr>
  </w:style>
  <w:style w:type="character" w:styleId="FollowedHyperlink">
    <w:name w:val="FollowedHyperlink"/>
    <w:basedOn w:val="DefaultParagraphFont"/>
    <w:uiPriority w:val="99"/>
    <w:semiHidden/>
    <w:rsid w:val="00746D7E"/>
    <w:rPr>
      <w:color w:val="954F72" w:themeColor="followedHyperlink"/>
      <w:u w:val="single"/>
    </w:rPr>
  </w:style>
  <w:style w:type="character" w:styleId="UnresolvedMention">
    <w:name w:val="Unresolved Mention"/>
    <w:basedOn w:val="DefaultParagraphFont"/>
    <w:uiPriority w:val="99"/>
    <w:semiHidden/>
    <w:unhideWhenUsed/>
    <w:rsid w:val="003C1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303">
      <w:bodyDiv w:val="1"/>
      <w:marLeft w:val="0"/>
      <w:marRight w:val="0"/>
      <w:marTop w:val="0"/>
      <w:marBottom w:val="0"/>
      <w:divBdr>
        <w:top w:val="none" w:sz="0" w:space="0" w:color="auto"/>
        <w:left w:val="none" w:sz="0" w:space="0" w:color="auto"/>
        <w:bottom w:val="none" w:sz="0" w:space="0" w:color="auto"/>
        <w:right w:val="none" w:sz="0" w:space="0" w:color="auto"/>
      </w:divBdr>
    </w:div>
    <w:div w:id="168909311">
      <w:bodyDiv w:val="1"/>
      <w:marLeft w:val="0"/>
      <w:marRight w:val="0"/>
      <w:marTop w:val="0"/>
      <w:marBottom w:val="0"/>
      <w:divBdr>
        <w:top w:val="none" w:sz="0" w:space="0" w:color="auto"/>
        <w:left w:val="none" w:sz="0" w:space="0" w:color="auto"/>
        <w:bottom w:val="none" w:sz="0" w:space="0" w:color="auto"/>
        <w:right w:val="none" w:sz="0" w:space="0" w:color="auto"/>
      </w:divBdr>
    </w:div>
    <w:div w:id="178279246">
      <w:bodyDiv w:val="1"/>
      <w:marLeft w:val="0"/>
      <w:marRight w:val="0"/>
      <w:marTop w:val="0"/>
      <w:marBottom w:val="0"/>
      <w:divBdr>
        <w:top w:val="none" w:sz="0" w:space="0" w:color="auto"/>
        <w:left w:val="none" w:sz="0" w:space="0" w:color="auto"/>
        <w:bottom w:val="none" w:sz="0" w:space="0" w:color="auto"/>
        <w:right w:val="none" w:sz="0" w:space="0" w:color="auto"/>
      </w:divBdr>
    </w:div>
    <w:div w:id="501893428">
      <w:bodyDiv w:val="1"/>
      <w:marLeft w:val="0"/>
      <w:marRight w:val="0"/>
      <w:marTop w:val="0"/>
      <w:marBottom w:val="0"/>
      <w:divBdr>
        <w:top w:val="none" w:sz="0" w:space="0" w:color="auto"/>
        <w:left w:val="none" w:sz="0" w:space="0" w:color="auto"/>
        <w:bottom w:val="none" w:sz="0" w:space="0" w:color="auto"/>
        <w:right w:val="none" w:sz="0" w:space="0" w:color="auto"/>
      </w:divBdr>
    </w:div>
    <w:div w:id="548078709">
      <w:bodyDiv w:val="1"/>
      <w:marLeft w:val="0"/>
      <w:marRight w:val="0"/>
      <w:marTop w:val="0"/>
      <w:marBottom w:val="0"/>
      <w:divBdr>
        <w:top w:val="none" w:sz="0" w:space="0" w:color="auto"/>
        <w:left w:val="none" w:sz="0" w:space="0" w:color="auto"/>
        <w:bottom w:val="none" w:sz="0" w:space="0" w:color="auto"/>
        <w:right w:val="none" w:sz="0" w:space="0" w:color="auto"/>
      </w:divBdr>
    </w:div>
    <w:div w:id="169785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pensions.gov.scot/sites/default/files/2022-10/Police_PS_Re_-_employment_factsheet_04102022.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uk/ssi/2015/142/regulation/83/mad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ensions.gov.scot/sites/default/files/2020-05/LGPS_Scotland_Flexible_Retirement_Guidance.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cotlgpsmember.org/" TargetMode="External"/><Relationship Id="rId20" Type="http://schemas.openxmlformats.org/officeDocument/2006/relationships/hyperlink" Target="https://pensions.gov.sco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ensions.gov.scot/sites/default/files/2022-10/Police_PS_Re_-_employment_factsheet_04102022.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cotlgpsmember.org/your-pension/planning/taking-your-pension/" TargetMode="External"/><Relationship Id="rId23" Type="http://schemas.openxmlformats.org/officeDocument/2006/relationships/hyperlink" Target="https://pensions.gov.scot/sites/default/files/2022-10/Police_PS_Re_-_employment_factsheet_04102022.pdf"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legislation.gov.uk/ssi/2014/68/contents/ma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cotlgpsmember.org/your-pension/planning/taking-your-pension/" TargetMode="External"/><Relationship Id="rId22" Type="http://schemas.openxmlformats.org/officeDocument/2006/relationships/hyperlink" Target="https://pensions.gov.scot/police/your-membership/opting-out-or-leaving-police-pension-scheme"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5.00</Document_x0020_Version>
    <Published_x0020_Date xmlns="328626ec-7376-41df-a3e4-7831eff98bf6">2023-06-25T23:00:00+00:00</Published_x0020_Date>
    <SPRM xmlns="328626ec-7376-41df-a3e4-7831eff98bf6">true</SPRM>
    <Review_x0020_Cycle xmlns="328626ec-7376-41df-a3e4-7831eff98bf6">2</Review_x0020_Cyc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PRM xmlns="328626ec-7376-41df-a3e4-7831eff98bf6" xsi:nil="true"/>
    <Published_x0020_Date xmlns="328626ec-7376-41df-a3e4-7831eff98bf6">2023-06-25T23:00:00+00:00</Published_x0020_Date>
    <Document_x0020_Version xmlns="328626ec-7376-41df-a3e4-7831eff98bf6">5.00</Document_x0020_Version>
    <Review_x0020_Cycle xmlns="328626ec-7376-41df-a3e4-7831eff98bf6">2</Review_x0020_Cycl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2.xml><?xml version="1.0" encoding="utf-8"?>
<ds:datastoreItem xmlns:ds="http://schemas.openxmlformats.org/officeDocument/2006/customXml" ds:itemID="{BD493AC6-3705-40B2-888B-90F9DD180C08}">
  <ds:schemaRefs>
    <ds:schemaRef ds:uri="http://schemas.openxmlformats.org/officeDocument/2006/bibliography"/>
  </ds:schemaRefs>
</ds:datastoreItem>
</file>

<file path=customXml/itemProps3.xml><?xml version="1.0" encoding="utf-8"?>
<ds:datastoreItem xmlns:ds="http://schemas.openxmlformats.org/officeDocument/2006/customXml" ds:itemID="{BD5AC53F-70F1-477F-AE32-1F0F6D7EDEAF}">
  <ds:schemaRefs>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328626ec-7376-41df-a3e4-7831eff98bf6"/>
    <ds:schemaRef ds:uri="http://purl.org/dc/dcmitype/"/>
    <ds:schemaRef ds:uri="http://purl.org/dc/elements/1.1/"/>
  </ds:schemaRefs>
</ds:datastoreItem>
</file>

<file path=customXml/itemProps4.xml><?xml version="1.0" encoding="utf-8"?>
<ds:datastoreItem xmlns:ds="http://schemas.openxmlformats.org/officeDocument/2006/customXml" ds:itemID="{55E3BDF0-5940-493A-9BA0-CA9DDC651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895B4B-B6CE-4F98-ADB3-0F4B45CF69E4}">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28626ec-7376-41df-a3e4-7831eff98bf6"/>
    <ds:schemaRef ds:uri="http://purl.org/dc/dcmitype/"/>
    <ds:schemaRef ds:uri="http://purl.org/dc/terms/"/>
  </ds:schemaRefs>
</ds:datastoreItem>
</file>

<file path=customXml/itemProps6.xml><?xml version="1.0" encoding="utf-8"?>
<ds:datastoreItem xmlns:ds="http://schemas.openxmlformats.org/officeDocument/2006/customXml" ds:itemID="{A98290A2-6329-41B6-A3AF-AD7B2757EF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Vallance, Murray</cp:lastModifiedBy>
  <cp:revision>6</cp:revision>
  <cp:lastPrinted>2023-06-12T12:15:00Z</cp:lastPrinted>
  <dcterms:created xsi:type="dcterms:W3CDTF">2023-07-04T07:59:00Z</dcterms:created>
  <dcterms:modified xsi:type="dcterms:W3CDTF">2023-07-05T09:55:00Z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_docset_NoMedatataSyncRequired">
    <vt:lpwstr>False</vt:lpwstr>
  </property>
</Properties>
</file>