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1CAF0" w14:textId="77777777" w:rsidR="00401877" w:rsidRDefault="00401877"/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3FB4510F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6F54B4">
              <w:t>2001</w:t>
            </w:r>
          </w:p>
          <w:p w14:paraId="34BDABA6" w14:textId="4D0BFDF8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401877">
              <w:t>9</w:t>
            </w:r>
            <w:r w:rsidR="00401877" w:rsidRPr="00401877">
              <w:rPr>
                <w:vertAlign w:val="superscript"/>
              </w:rPr>
              <w:t>th</w:t>
            </w:r>
            <w:r w:rsidR="00401877">
              <w:t xml:space="preserve"> October </w:t>
            </w:r>
            <w:r>
              <w:t>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62BA7916" w14:textId="77777777" w:rsidR="006F54B4" w:rsidRPr="006F54B4" w:rsidRDefault="006F54B4" w:rsidP="006F54B4">
      <w:pPr>
        <w:pStyle w:val="Heading2"/>
      </w:pPr>
      <w:r w:rsidRPr="006F54B4">
        <w:t>Please provide the following numbers from the date of this request back one working year.</w:t>
      </w:r>
    </w:p>
    <w:p w14:paraId="4CF58729" w14:textId="77777777" w:rsidR="006F54B4" w:rsidRPr="006F54B4" w:rsidRDefault="006F54B4" w:rsidP="006F54B4">
      <w:pPr>
        <w:pStyle w:val="Heading2"/>
      </w:pPr>
      <w:r w:rsidRPr="006F54B4">
        <w:t>In relation to the number of police sergeants who have applied for promotion to Inspector and have been successful in completing the process.</w:t>
      </w:r>
    </w:p>
    <w:p w14:paraId="2FB64621" w14:textId="77777777" w:rsidR="006F54B4" w:rsidRPr="006F54B4" w:rsidRDefault="006F54B4" w:rsidP="006F54B4">
      <w:pPr>
        <w:pStyle w:val="Heading2"/>
      </w:pPr>
      <w:r w:rsidRPr="006F54B4">
        <w:t>Number of persons applied</w:t>
      </w:r>
    </w:p>
    <w:p w14:paraId="5C5EE4B4" w14:textId="77777777" w:rsidR="006F54B4" w:rsidRDefault="006F54B4" w:rsidP="006F54B4">
      <w:pPr>
        <w:pStyle w:val="Heading2"/>
      </w:pPr>
      <w:r w:rsidRPr="006F54B4">
        <w:t xml:space="preserve">Number of people through the promotion process </w:t>
      </w:r>
    </w:p>
    <w:p w14:paraId="1ACB6517" w14:textId="77777777" w:rsidR="006F54B4" w:rsidRDefault="006F54B4" w:rsidP="006F54B4">
      <w:pPr>
        <w:pStyle w:val="Heading2"/>
      </w:pPr>
      <w:r w:rsidRPr="006F54B4">
        <w:t>Number of people applied who have a registered disability or reasonable adjustment</w:t>
      </w:r>
    </w:p>
    <w:p w14:paraId="7EAD3B1A" w14:textId="142CEEA1" w:rsidR="006F54B4" w:rsidRPr="006F54B4" w:rsidRDefault="006F54B4" w:rsidP="006F54B4">
      <w:pPr>
        <w:pStyle w:val="Heading2"/>
      </w:pPr>
      <w:r w:rsidRPr="006F54B4">
        <w:t>Number of people with a registered disability or reasonable adjustment through the promotion process.</w:t>
      </w:r>
    </w:p>
    <w:p w14:paraId="34BDABAA" w14:textId="26103B2F" w:rsidR="00496A08" w:rsidRDefault="006F54B4" w:rsidP="006F54B4">
      <w:pPr>
        <w:pStyle w:val="Heading2"/>
      </w:pPr>
      <w:r w:rsidRPr="006F54B4">
        <w:t>Where time and cost permits please have the figures cover previous years not exceeding the last 5 years.</w:t>
      </w:r>
    </w:p>
    <w:p w14:paraId="42F78A16" w14:textId="0E706FCC" w:rsidR="006F54B4" w:rsidRDefault="006F54B4" w:rsidP="006F54B4">
      <w:r>
        <w:t>The table below details police sergeants who applied for promotion to inspector</w:t>
      </w:r>
      <w:r w:rsidR="00D64D49">
        <w:t>,</w:t>
      </w:r>
      <w:r>
        <w:t xml:space="preserve"> broken down by the number of successful applicants overall and the number of successful applicants who identified as having a </w:t>
      </w:r>
      <w:r w:rsidR="005E20B3">
        <w:t xml:space="preserve">disability or </w:t>
      </w:r>
      <w:r w:rsidR="00D70E15">
        <w:t>r</w:t>
      </w:r>
      <w:r>
        <w:t xml:space="preserve">easonable </w:t>
      </w:r>
      <w:r w:rsidR="00D70E15">
        <w:t>a</w:t>
      </w:r>
      <w:r>
        <w:t>djustment</w:t>
      </w:r>
      <w:r w:rsidR="00B51F80">
        <w:t>,</w:t>
      </w:r>
      <w:r w:rsidR="00C1596F">
        <w:t xml:space="preserve"> </w:t>
      </w:r>
      <w:r>
        <w:t xml:space="preserve">over the last five years, inclusive: </w:t>
      </w:r>
    </w:p>
    <w:tbl>
      <w:tblPr>
        <w:tblStyle w:val="TableGrid"/>
        <w:tblpPr w:leftFromText="180" w:rightFromText="180" w:vertAnchor="text" w:horzAnchor="margin" w:tblpY="222"/>
        <w:tblW w:w="9644" w:type="dxa"/>
        <w:tblLook w:val="04A0" w:firstRow="1" w:lastRow="0" w:firstColumn="1" w:lastColumn="0" w:noHBand="0" w:noVBand="1"/>
        <w:tblCaption w:val="Example table"/>
        <w:tblDescription w:val="Example table"/>
      </w:tblPr>
      <w:tblGrid>
        <w:gridCol w:w="845"/>
        <w:gridCol w:w="1443"/>
        <w:gridCol w:w="1535"/>
        <w:gridCol w:w="2835"/>
        <w:gridCol w:w="2986"/>
      </w:tblGrid>
      <w:tr w:rsidR="005E20B3" w:rsidRPr="00557306" w14:paraId="0BC3DF40" w14:textId="77777777" w:rsidTr="005E20B3">
        <w:trPr>
          <w:tblHeader/>
        </w:trPr>
        <w:tc>
          <w:tcPr>
            <w:tcW w:w="845" w:type="dxa"/>
            <w:shd w:val="clear" w:color="auto" w:fill="D9D9D9" w:themeFill="background1" w:themeFillShade="D9"/>
          </w:tcPr>
          <w:p w14:paraId="608EB1FB" w14:textId="282723B9" w:rsidR="00B74720" w:rsidRPr="00557306" w:rsidRDefault="005E20B3" w:rsidP="00B74720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Year</w:t>
            </w:r>
          </w:p>
        </w:tc>
        <w:tc>
          <w:tcPr>
            <w:tcW w:w="1443" w:type="dxa"/>
            <w:shd w:val="clear" w:color="auto" w:fill="D9D9D9" w:themeFill="background1" w:themeFillShade="D9"/>
          </w:tcPr>
          <w:p w14:paraId="5D4EDB19" w14:textId="3520DF76" w:rsidR="00B74720" w:rsidRPr="00557306" w:rsidRDefault="00B74720" w:rsidP="00B74720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Applicants</w:t>
            </w:r>
          </w:p>
        </w:tc>
        <w:tc>
          <w:tcPr>
            <w:tcW w:w="1535" w:type="dxa"/>
            <w:shd w:val="clear" w:color="auto" w:fill="D9D9D9" w:themeFill="background1" w:themeFillShade="D9"/>
          </w:tcPr>
          <w:p w14:paraId="35384405" w14:textId="76231828" w:rsidR="00B74720" w:rsidRPr="00557306" w:rsidRDefault="005E20B3" w:rsidP="005E20B3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Successful </w:t>
            </w:r>
            <w:r w:rsidR="00B74720">
              <w:rPr>
                <w:b/>
              </w:rPr>
              <w:t xml:space="preserve">Applicants 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4A9649E9" w14:textId="028A6E4D" w:rsidR="00B74720" w:rsidRPr="00557306" w:rsidRDefault="005E20B3" w:rsidP="005E20B3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Applicants with Disability/ Reasonable Adjustment</w:t>
            </w:r>
          </w:p>
        </w:tc>
        <w:tc>
          <w:tcPr>
            <w:tcW w:w="2986" w:type="dxa"/>
            <w:shd w:val="clear" w:color="auto" w:fill="D9D9D9" w:themeFill="background1" w:themeFillShade="D9"/>
          </w:tcPr>
          <w:p w14:paraId="029E3E2C" w14:textId="6ECEF8DD" w:rsidR="00B74720" w:rsidRPr="00557306" w:rsidRDefault="005E20B3" w:rsidP="005E20B3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Successful Applicants with Disability/ Reasonable Adjustment</w:t>
            </w:r>
          </w:p>
        </w:tc>
      </w:tr>
      <w:tr w:rsidR="00B74720" w14:paraId="530B10C5" w14:textId="77777777" w:rsidTr="005E20B3">
        <w:tc>
          <w:tcPr>
            <w:tcW w:w="845" w:type="dxa"/>
          </w:tcPr>
          <w:p w14:paraId="745855BE" w14:textId="77777777" w:rsidR="00B74720" w:rsidRDefault="00B74720" w:rsidP="00B74720">
            <w:pPr>
              <w:tabs>
                <w:tab w:val="left" w:pos="5400"/>
              </w:tabs>
              <w:spacing w:line="240" w:lineRule="auto"/>
              <w:jc w:val="center"/>
            </w:pPr>
            <w:r>
              <w:t>2024</w:t>
            </w:r>
          </w:p>
        </w:tc>
        <w:tc>
          <w:tcPr>
            <w:tcW w:w="1443" w:type="dxa"/>
          </w:tcPr>
          <w:p w14:paraId="7BDE5365" w14:textId="77777777" w:rsidR="00B74720" w:rsidRPr="00D70E15" w:rsidRDefault="00B74720" w:rsidP="00B74720">
            <w:pPr>
              <w:tabs>
                <w:tab w:val="left" w:pos="5400"/>
              </w:tabs>
              <w:spacing w:line="240" w:lineRule="auto"/>
              <w:jc w:val="right"/>
            </w:pPr>
            <w:r w:rsidRPr="00D70E15">
              <w:rPr>
                <w:color w:val="000000" w:themeColor="text1"/>
              </w:rPr>
              <w:t>427</w:t>
            </w:r>
          </w:p>
        </w:tc>
        <w:tc>
          <w:tcPr>
            <w:tcW w:w="1535" w:type="dxa"/>
          </w:tcPr>
          <w:p w14:paraId="1B3244A7" w14:textId="77777777" w:rsidR="00B74720" w:rsidRPr="00D70E15" w:rsidRDefault="00B74720" w:rsidP="00B74720">
            <w:pPr>
              <w:tabs>
                <w:tab w:val="left" w:pos="5400"/>
              </w:tabs>
              <w:spacing w:line="240" w:lineRule="auto"/>
              <w:jc w:val="right"/>
            </w:pPr>
            <w:r w:rsidRPr="00D70E15">
              <w:rPr>
                <w:color w:val="000000" w:themeColor="text1"/>
              </w:rPr>
              <w:t>141</w:t>
            </w:r>
          </w:p>
        </w:tc>
        <w:tc>
          <w:tcPr>
            <w:tcW w:w="2835" w:type="dxa"/>
          </w:tcPr>
          <w:p w14:paraId="728070FD" w14:textId="77777777" w:rsidR="00B74720" w:rsidRPr="00D70E15" w:rsidRDefault="00B74720" w:rsidP="00B74720">
            <w:pPr>
              <w:tabs>
                <w:tab w:val="left" w:pos="5400"/>
              </w:tabs>
              <w:spacing w:line="240" w:lineRule="auto"/>
              <w:jc w:val="right"/>
            </w:pPr>
            <w:r w:rsidRPr="00D70E15">
              <w:rPr>
                <w:color w:val="000000" w:themeColor="text1"/>
              </w:rPr>
              <w:t>39 (9%)</w:t>
            </w:r>
          </w:p>
        </w:tc>
        <w:tc>
          <w:tcPr>
            <w:tcW w:w="2986" w:type="dxa"/>
          </w:tcPr>
          <w:p w14:paraId="447B8E33" w14:textId="77777777" w:rsidR="00B74720" w:rsidRPr="00D70E15" w:rsidRDefault="00B74720" w:rsidP="00B74720">
            <w:pPr>
              <w:tabs>
                <w:tab w:val="left" w:pos="5400"/>
              </w:tabs>
              <w:spacing w:line="240" w:lineRule="auto"/>
              <w:jc w:val="right"/>
            </w:pPr>
            <w:r w:rsidRPr="00D70E15">
              <w:rPr>
                <w:color w:val="000000" w:themeColor="text1"/>
              </w:rPr>
              <w:t>14 (10%)</w:t>
            </w:r>
          </w:p>
        </w:tc>
      </w:tr>
      <w:tr w:rsidR="00B74720" w14:paraId="31665E03" w14:textId="77777777" w:rsidTr="005E20B3">
        <w:tc>
          <w:tcPr>
            <w:tcW w:w="845" w:type="dxa"/>
          </w:tcPr>
          <w:p w14:paraId="6A8F3207" w14:textId="77777777" w:rsidR="00B74720" w:rsidRDefault="00B74720" w:rsidP="00B74720">
            <w:pPr>
              <w:tabs>
                <w:tab w:val="left" w:pos="5400"/>
              </w:tabs>
              <w:spacing w:line="240" w:lineRule="auto"/>
              <w:jc w:val="center"/>
            </w:pPr>
            <w:r>
              <w:t>2023</w:t>
            </w:r>
          </w:p>
        </w:tc>
        <w:tc>
          <w:tcPr>
            <w:tcW w:w="1443" w:type="dxa"/>
          </w:tcPr>
          <w:p w14:paraId="127F15EE" w14:textId="77777777" w:rsidR="00B74720" w:rsidRPr="00D70E15" w:rsidRDefault="00B74720" w:rsidP="00B74720">
            <w:pPr>
              <w:tabs>
                <w:tab w:val="left" w:pos="5400"/>
              </w:tabs>
              <w:spacing w:line="240" w:lineRule="auto"/>
              <w:jc w:val="right"/>
            </w:pPr>
            <w:r w:rsidRPr="00D70E15">
              <w:t>96</w:t>
            </w:r>
          </w:p>
        </w:tc>
        <w:tc>
          <w:tcPr>
            <w:tcW w:w="1535" w:type="dxa"/>
          </w:tcPr>
          <w:p w14:paraId="307907B4" w14:textId="77777777" w:rsidR="00B74720" w:rsidRPr="00D70E15" w:rsidRDefault="00B74720" w:rsidP="00B74720">
            <w:pPr>
              <w:tabs>
                <w:tab w:val="left" w:pos="5400"/>
              </w:tabs>
              <w:spacing w:line="240" w:lineRule="auto"/>
              <w:jc w:val="right"/>
            </w:pPr>
            <w:r w:rsidRPr="00D70E15">
              <w:t>63</w:t>
            </w:r>
          </w:p>
        </w:tc>
        <w:tc>
          <w:tcPr>
            <w:tcW w:w="2835" w:type="dxa"/>
          </w:tcPr>
          <w:p w14:paraId="2E295FBB" w14:textId="77777777" w:rsidR="00B74720" w:rsidRPr="00D70E15" w:rsidRDefault="00B74720" w:rsidP="00B74720">
            <w:pPr>
              <w:tabs>
                <w:tab w:val="left" w:pos="5400"/>
              </w:tabs>
              <w:spacing w:line="240" w:lineRule="auto"/>
              <w:jc w:val="right"/>
            </w:pPr>
            <w:r w:rsidRPr="00D70E15">
              <w:t>5 (5%)</w:t>
            </w:r>
          </w:p>
        </w:tc>
        <w:tc>
          <w:tcPr>
            <w:tcW w:w="2986" w:type="dxa"/>
          </w:tcPr>
          <w:p w14:paraId="044A4C86" w14:textId="77777777" w:rsidR="00B74720" w:rsidRPr="00D70E15" w:rsidRDefault="00B74720" w:rsidP="00B74720">
            <w:pPr>
              <w:tabs>
                <w:tab w:val="left" w:pos="5400"/>
              </w:tabs>
              <w:spacing w:line="240" w:lineRule="auto"/>
              <w:jc w:val="right"/>
            </w:pPr>
            <w:r w:rsidRPr="00D70E15">
              <w:t>5 (8%)</w:t>
            </w:r>
          </w:p>
        </w:tc>
      </w:tr>
      <w:tr w:rsidR="00B74720" w14:paraId="2C55C37D" w14:textId="77777777" w:rsidTr="005E20B3">
        <w:tc>
          <w:tcPr>
            <w:tcW w:w="845" w:type="dxa"/>
          </w:tcPr>
          <w:p w14:paraId="3F316ECF" w14:textId="77777777" w:rsidR="00B74720" w:rsidRDefault="00B74720" w:rsidP="00B74720">
            <w:pPr>
              <w:tabs>
                <w:tab w:val="left" w:pos="5400"/>
              </w:tabs>
              <w:spacing w:line="240" w:lineRule="auto"/>
              <w:jc w:val="center"/>
            </w:pPr>
            <w:r>
              <w:t>2022</w:t>
            </w:r>
          </w:p>
        </w:tc>
        <w:tc>
          <w:tcPr>
            <w:tcW w:w="1443" w:type="dxa"/>
          </w:tcPr>
          <w:p w14:paraId="6674CD3E" w14:textId="77777777" w:rsidR="00B74720" w:rsidRPr="00D70E15" w:rsidRDefault="00B74720" w:rsidP="00B74720">
            <w:pPr>
              <w:tabs>
                <w:tab w:val="left" w:pos="5400"/>
              </w:tabs>
              <w:spacing w:line="240" w:lineRule="auto"/>
              <w:jc w:val="right"/>
            </w:pPr>
            <w:r w:rsidRPr="00D70E15">
              <w:t>736</w:t>
            </w:r>
          </w:p>
        </w:tc>
        <w:tc>
          <w:tcPr>
            <w:tcW w:w="1535" w:type="dxa"/>
          </w:tcPr>
          <w:p w14:paraId="29F2BFC2" w14:textId="77777777" w:rsidR="00B74720" w:rsidRPr="00D70E15" w:rsidRDefault="00B74720" w:rsidP="00B74720">
            <w:pPr>
              <w:tabs>
                <w:tab w:val="left" w:pos="5400"/>
              </w:tabs>
              <w:spacing w:line="240" w:lineRule="auto"/>
              <w:jc w:val="right"/>
            </w:pPr>
            <w:r w:rsidRPr="00D70E15">
              <w:t>400</w:t>
            </w:r>
          </w:p>
        </w:tc>
        <w:tc>
          <w:tcPr>
            <w:tcW w:w="2835" w:type="dxa"/>
          </w:tcPr>
          <w:p w14:paraId="60B32F18" w14:textId="77777777" w:rsidR="00B74720" w:rsidRPr="00D70E15" w:rsidRDefault="00B74720" w:rsidP="00B74720">
            <w:pPr>
              <w:tabs>
                <w:tab w:val="left" w:pos="5400"/>
              </w:tabs>
              <w:spacing w:line="240" w:lineRule="auto"/>
              <w:jc w:val="right"/>
            </w:pPr>
            <w:r w:rsidRPr="00D70E15">
              <w:t>22 (3%)</w:t>
            </w:r>
          </w:p>
        </w:tc>
        <w:tc>
          <w:tcPr>
            <w:tcW w:w="2986" w:type="dxa"/>
          </w:tcPr>
          <w:p w14:paraId="55229FB5" w14:textId="77777777" w:rsidR="00B74720" w:rsidRPr="00D70E15" w:rsidRDefault="00B74720" w:rsidP="00B74720">
            <w:pPr>
              <w:tabs>
                <w:tab w:val="left" w:pos="5400"/>
              </w:tabs>
              <w:spacing w:line="240" w:lineRule="auto"/>
              <w:jc w:val="right"/>
            </w:pPr>
            <w:r w:rsidRPr="00D70E15">
              <w:t>10 (2.5%)</w:t>
            </w:r>
          </w:p>
        </w:tc>
      </w:tr>
      <w:tr w:rsidR="00B74720" w14:paraId="7E8FFDC9" w14:textId="77777777" w:rsidTr="005E20B3">
        <w:tc>
          <w:tcPr>
            <w:tcW w:w="845" w:type="dxa"/>
          </w:tcPr>
          <w:p w14:paraId="5204B49C" w14:textId="77777777" w:rsidR="00B74720" w:rsidRDefault="00B74720" w:rsidP="00B74720">
            <w:pPr>
              <w:tabs>
                <w:tab w:val="left" w:pos="5400"/>
              </w:tabs>
              <w:spacing w:line="240" w:lineRule="auto"/>
              <w:jc w:val="center"/>
            </w:pPr>
            <w:r>
              <w:lastRenderedPageBreak/>
              <w:t>2020</w:t>
            </w:r>
          </w:p>
        </w:tc>
        <w:tc>
          <w:tcPr>
            <w:tcW w:w="1443" w:type="dxa"/>
          </w:tcPr>
          <w:p w14:paraId="1991A302" w14:textId="77777777" w:rsidR="00B74720" w:rsidRDefault="00B74720" w:rsidP="00B74720">
            <w:pPr>
              <w:tabs>
                <w:tab w:val="left" w:pos="5400"/>
              </w:tabs>
              <w:spacing w:line="240" w:lineRule="auto"/>
              <w:jc w:val="right"/>
            </w:pPr>
            <w:r w:rsidRPr="006D1FE0">
              <w:t>540</w:t>
            </w:r>
          </w:p>
        </w:tc>
        <w:tc>
          <w:tcPr>
            <w:tcW w:w="1535" w:type="dxa"/>
          </w:tcPr>
          <w:p w14:paraId="03275182" w14:textId="77777777" w:rsidR="00B74720" w:rsidRDefault="00B74720" w:rsidP="00B74720">
            <w:pPr>
              <w:tabs>
                <w:tab w:val="left" w:pos="5400"/>
              </w:tabs>
              <w:spacing w:line="240" w:lineRule="auto"/>
              <w:jc w:val="right"/>
            </w:pPr>
            <w:r w:rsidRPr="006D1FE0">
              <w:t>131</w:t>
            </w:r>
          </w:p>
        </w:tc>
        <w:tc>
          <w:tcPr>
            <w:tcW w:w="2835" w:type="dxa"/>
          </w:tcPr>
          <w:p w14:paraId="166E8A2C" w14:textId="77777777" w:rsidR="00B74720" w:rsidRDefault="00B74720" w:rsidP="00B74720">
            <w:pPr>
              <w:tabs>
                <w:tab w:val="left" w:pos="5400"/>
              </w:tabs>
              <w:spacing w:line="240" w:lineRule="auto"/>
              <w:jc w:val="right"/>
            </w:pPr>
            <w:r>
              <w:t>*N/A</w:t>
            </w:r>
          </w:p>
        </w:tc>
        <w:tc>
          <w:tcPr>
            <w:tcW w:w="2986" w:type="dxa"/>
          </w:tcPr>
          <w:p w14:paraId="29B77854" w14:textId="77777777" w:rsidR="00B74720" w:rsidRDefault="00B74720" w:rsidP="00B74720">
            <w:pPr>
              <w:tabs>
                <w:tab w:val="left" w:pos="5400"/>
              </w:tabs>
              <w:spacing w:line="240" w:lineRule="auto"/>
              <w:jc w:val="right"/>
            </w:pPr>
            <w:r>
              <w:t>*N/A</w:t>
            </w:r>
          </w:p>
        </w:tc>
      </w:tr>
    </w:tbl>
    <w:p w14:paraId="34A5B324" w14:textId="5A2A103D" w:rsidR="00D70E15" w:rsidRDefault="00B74720" w:rsidP="00682B22">
      <w:pPr>
        <w:tabs>
          <w:tab w:val="left" w:pos="5400"/>
        </w:tabs>
      </w:pPr>
      <w:r>
        <w:t>It</w:t>
      </w:r>
      <w:r w:rsidR="00D70E15">
        <w:t xml:space="preserve"> is important to note that the information provided is based on our Equality and Diversity Employment Monitoring (which is voluntary). </w:t>
      </w:r>
    </w:p>
    <w:p w14:paraId="1ABDDB90" w14:textId="209A634A" w:rsidR="00A05613" w:rsidRDefault="00A05613" w:rsidP="00682B22">
      <w:pPr>
        <w:tabs>
          <w:tab w:val="left" w:pos="5400"/>
        </w:tabs>
      </w:pPr>
      <w:r>
        <w:t>Please note that there was no Sergeant to Inspector promotion process in 2021.</w:t>
      </w:r>
    </w:p>
    <w:p w14:paraId="1C7A47FC" w14:textId="299AEDF5" w:rsidR="00B74720" w:rsidRDefault="00A05613" w:rsidP="009D2AA5">
      <w:pPr>
        <w:tabs>
          <w:tab w:val="left" w:pos="5400"/>
        </w:tabs>
      </w:pPr>
      <w:r>
        <w:t>In relation to</w:t>
      </w:r>
      <w:r w:rsidR="00B74720">
        <w:t xml:space="preserve"> </w:t>
      </w:r>
      <w:r w:rsidR="00B74720" w:rsidRPr="00A05613">
        <w:t>2020</w:t>
      </w:r>
      <w:r w:rsidR="00B74720">
        <w:t>,</w:t>
      </w:r>
      <w:r w:rsidR="00AF2441">
        <w:t xml:space="preserve"> </w:t>
      </w:r>
      <w:r w:rsidR="00B74720" w:rsidRPr="00587460">
        <w:t xml:space="preserve">I estimate it would cost well in excess of the current FOI cost threshold of £600 to process </w:t>
      </w:r>
      <w:r>
        <w:t>your</w:t>
      </w:r>
      <w:r w:rsidR="00B74720">
        <w:t xml:space="preserve"> </w:t>
      </w:r>
      <w:r w:rsidR="00B74720" w:rsidRPr="00587460">
        <w:t>request. I am therefore refusing to provide the information sought in terms of section 12(1) of the Act - Excessive Cost of Compliance.</w:t>
      </w:r>
    </w:p>
    <w:p w14:paraId="122B0BEB" w14:textId="0E427074" w:rsidR="000A32FB" w:rsidRDefault="00B74720" w:rsidP="00AF2441">
      <w:pPr>
        <w:tabs>
          <w:tab w:val="left" w:pos="5400"/>
        </w:tabs>
      </w:pPr>
      <w:r>
        <w:t xml:space="preserve">By way of explanation, </w:t>
      </w:r>
      <w:r w:rsidR="00682B22">
        <w:t xml:space="preserve">the number of applicants </w:t>
      </w:r>
      <w:r w:rsidR="00AF2441">
        <w:t xml:space="preserve">who identified as having </w:t>
      </w:r>
      <w:r w:rsidR="005E20B3">
        <w:t xml:space="preserve">a disability or </w:t>
      </w:r>
      <w:r w:rsidR="000A32FB">
        <w:t>reasonable adjustments</w:t>
      </w:r>
      <w:r w:rsidR="00AF2441">
        <w:t xml:space="preserve"> </w:t>
      </w:r>
      <w:r w:rsidR="000A32FB">
        <w:t xml:space="preserve">was not </w:t>
      </w:r>
      <w:r w:rsidR="005E20B3">
        <w:t xml:space="preserve">specifically </w:t>
      </w:r>
      <w:r w:rsidR="000A32FB">
        <w:t>recorded</w:t>
      </w:r>
      <w:r w:rsidR="00D64D49">
        <w:t xml:space="preserve">, and </w:t>
      </w:r>
      <w:r w:rsidR="00A05613">
        <w:t xml:space="preserve">the </w:t>
      </w:r>
      <w:r w:rsidR="00D64D49">
        <w:t xml:space="preserve">application data would therefore have to be </w:t>
      </w:r>
      <w:r w:rsidR="00A05613">
        <w:t xml:space="preserve">retrospectively </w:t>
      </w:r>
      <w:r w:rsidR="00D64D49">
        <w:t>cross</w:t>
      </w:r>
      <w:r w:rsidR="00B51F80">
        <w:t>-</w:t>
      </w:r>
      <w:r w:rsidR="00D64D49">
        <w:t>referred with Equality and Diversity Employment data.</w:t>
      </w:r>
    </w:p>
    <w:p w14:paraId="6B447A15" w14:textId="30D6C686" w:rsidR="00682B22" w:rsidRDefault="00682B22" w:rsidP="00682B22">
      <w:pPr>
        <w:tabs>
          <w:tab w:val="left" w:pos="5400"/>
        </w:tabs>
      </w:pPr>
      <w:r>
        <w:t>G</w:t>
      </w:r>
      <w:r w:rsidRPr="00052811">
        <w:t xml:space="preserve">iven the </w:t>
      </w:r>
      <w:r>
        <w:t xml:space="preserve">significant </w:t>
      </w:r>
      <w:r w:rsidRPr="00052811">
        <w:t xml:space="preserve">volume of </w:t>
      </w:r>
      <w:r w:rsidR="00D64D49">
        <w:t>applications in</w:t>
      </w:r>
      <w:r w:rsidR="00FE0997">
        <w:t xml:space="preserve"> 2020</w:t>
      </w:r>
      <w:r>
        <w:t xml:space="preserve">, </w:t>
      </w:r>
      <w:r w:rsidR="00FE0997">
        <w:t xml:space="preserve">such an </w:t>
      </w:r>
      <w:r w:rsidRPr="00052811">
        <w:t xml:space="preserve">exercise would far </w:t>
      </w:r>
      <w:r>
        <w:t>e</w:t>
      </w:r>
      <w:r w:rsidRPr="00052811">
        <w:t>xceed the cost limit set out in the Fees Regulations.</w:t>
      </w:r>
    </w:p>
    <w:p w14:paraId="4876BE56" w14:textId="471923C4" w:rsidR="00B47C9A" w:rsidRDefault="0044508D" w:rsidP="00B47C9A">
      <w:pPr>
        <w:tabs>
          <w:tab w:val="left" w:pos="5400"/>
        </w:tabs>
        <w:jc w:val="both"/>
      </w:pPr>
      <w:r>
        <w:t>To be of assistance</w:t>
      </w:r>
      <w:r w:rsidR="00FE0997">
        <w:t xml:space="preserve"> however</w:t>
      </w:r>
      <w:r>
        <w:t>, additional</w:t>
      </w:r>
      <w:r w:rsidR="00B47C9A">
        <w:t xml:space="preserve"> information regarding promotion statistics </w:t>
      </w:r>
      <w:r w:rsidR="00D64D49">
        <w:t>is available in our</w:t>
      </w:r>
      <w:r w:rsidR="00B47C9A">
        <w:t xml:space="preserve"> Equality and Diversity Employment Monitoring Reports:</w:t>
      </w:r>
    </w:p>
    <w:p w14:paraId="68E5F52E" w14:textId="344B5132" w:rsidR="00B47C9A" w:rsidRDefault="00B47C9A" w:rsidP="00B47C9A">
      <w:pPr>
        <w:tabs>
          <w:tab w:val="left" w:pos="5400"/>
        </w:tabs>
        <w:jc w:val="both"/>
      </w:pPr>
      <w:hyperlink r:id="rId11" w:history="1">
        <w:r w:rsidRPr="00337FF7">
          <w:rPr>
            <w:rStyle w:val="Hyperlink"/>
          </w:rPr>
          <w:t>Strategic Planning - Police Scotland</w:t>
        </w:r>
      </w:hyperlink>
    </w:p>
    <w:p w14:paraId="7BA252D7" w14:textId="77777777" w:rsidR="00D64D49" w:rsidRPr="00B11A55" w:rsidRDefault="00D64D49" w:rsidP="009D2AA5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2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3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4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5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lastRenderedPageBreak/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2CF81346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957A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414F624A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957A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2AE49A83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957A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64970F85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957A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1354A9F2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957A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049B063B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957A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A32FB"/>
    <w:rsid w:val="000A57BA"/>
    <w:rsid w:val="000E2F19"/>
    <w:rsid w:val="000E43FF"/>
    <w:rsid w:val="000E6526"/>
    <w:rsid w:val="00141533"/>
    <w:rsid w:val="00167528"/>
    <w:rsid w:val="00184727"/>
    <w:rsid w:val="00195CC4"/>
    <w:rsid w:val="001F2261"/>
    <w:rsid w:val="00207326"/>
    <w:rsid w:val="00253DF6"/>
    <w:rsid w:val="00255F1E"/>
    <w:rsid w:val="00260FBC"/>
    <w:rsid w:val="0036503B"/>
    <w:rsid w:val="00376A4A"/>
    <w:rsid w:val="00381234"/>
    <w:rsid w:val="003D6D03"/>
    <w:rsid w:val="003E12CA"/>
    <w:rsid w:val="004010DC"/>
    <w:rsid w:val="00401877"/>
    <w:rsid w:val="004341F0"/>
    <w:rsid w:val="0044508D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5957AB"/>
    <w:rsid w:val="005E20B3"/>
    <w:rsid w:val="006029D9"/>
    <w:rsid w:val="0060390B"/>
    <w:rsid w:val="00645CFA"/>
    <w:rsid w:val="00682B22"/>
    <w:rsid w:val="00685219"/>
    <w:rsid w:val="006D5799"/>
    <w:rsid w:val="006F54B4"/>
    <w:rsid w:val="007440EA"/>
    <w:rsid w:val="00750D83"/>
    <w:rsid w:val="00785DBC"/>
    <w:rsid w:val="00793DD5"/>
    <w:rsid w:val="007B1CDB"/>
    <w:rsid w:val="007D55F6"/>
    <w:rsid w:val="007F490F"/>
    <w:rsid w:val="0086779C"/>
    <w:rsid w:val="00874BFD"/>
    <w:rsid w:val="008964EF"/>
    <w:rsid w:val="008D44FF"/>
    <w:rsid w:val="008E2EA3"/>
    <w:rsid w:val="00915E01"/>
    <w:rsid w:val="0093207F"/>
    <w:rsid w:val="009631A4"/>
    <w:rsid w:val="00977296"/>
    <w:rsid w:val="009B2208"/>
    <w:rsid w:val="009D2AA5"/>
    <w:rsid w:val="00A05613"/>
    <w:rsid w:val="00A141AA"/>
    <w:rsid w:val="00A25E93"/>
    <w:rsid w:val="00A320FF"/>
    <w:rsid w:val="00A70AC0"/>
    <w:rsid w:val="00A84EA9"/>
    <w:rsid w:val="00AC443C"/>
    <w:rsid w:val="00AF2441"/>
    <w:rsid w:val="00B033D6"/>
    <w:rsid w:val="00B11A55"/>
    <w:rsid w:val="00B17211"/>
    <w:rsid w:val="00B461B2"/>
    <w:rsid w:val="00B47C9A"/>
    <w:rsid w:val="00B51F80"/>
    <w:rsid w:val="00B654B6"/>
    <w:rsid w:val="00B71B3C"/>
    <w:rsid w:val="00B74720"/>
    <w:rsid w:val="00B77ED9"/>
    <w:rsid w:val="00BC389E"/>
    <w:rsid w:val="00BD0588"/>
    <w:rsid w:val="00BE1888"/>
    <w:rsid w:val="00BF6B81"/>
    <w:rsid w:val="00C077A8"/>
    <w:rsid w:val="00C14FF4"/>
    <w:rsid w:val="00C1596F"/>
    <w:rsid w:val="00C1679F"/>
    <w:rsid w:val="00C606A2"/>
    <w:rsid w:val="00C63872"/>
    <w:rsid w:val="00C84948"/>
    <w:rsid w:val="00C94ED8"/>
    <w:rsid w:val="00CE09FA"/>
    <w:rsid w:val="00CF1111"/>
    <w:rsid w:val="00D05706"/>
    <w:rsid w:val="00D27DC5"/>
    <w:rsid w:val="00D47E36"/>
    <w:rsid w:val="00D64D49"/>
    <w:rsid w:val="00D70E15"/>
    <w:rsid w:val="00E55D79"/>
    <w:rsid w:val="00EE2373"/>
    <w:rsid w:val="00EF0FBB"/>
    <w:rsid w:val="00EF4761"/>
    <w:rsid w:val="00F84F32"/>
    <w:rsid w:val="00FC2DA7"/>
    <w:rsid w:val="00FE099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2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oi.scot/appea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mailto:foi@scotland.police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cotland.police.uk/about-us/how-we-do-it/strategic-planning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cotland.police.uk/access-to-information/freedom-of-information/disclosure-lo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nquiries@foi.scot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544</Words>
  <Characters>3101</Characters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2025-10-09T11:36:00Z</cp:lastPrinted>
  <dcterms:created xsi:type="dcterms:W3CDTF">2025-10-09T11:35:00Z</dcterms:created>
  <dcterms:modified xsi:type="dcterms:W3CDTF">2025-10-09T11:36:00Z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