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E27084D" w:rsidR="00B17211" w:rsidRPr="00B17211" w:rsidRDefault="00B17211" w:rsidP="007F490F">
            <w:r w:rsidRPr="007F490F">
              <w:rPr>
                <w:rStyle w:val="Heading2Char"/>
              </w:rPr>
              <w:t>Our reference:</w:t>
            </w:r>
            <w:r>
              <w:t xml:space="preserve">  FOI 2</w:t>
            </w:r>
            <w:r w:rsidR="00B4358E">
              <w:t>5</w:t>
            </w:r>
            <w:r>
              <w:t>-</w:t>
            </w:r>
            <w:r w:rsidR="00E77681">
              <w:t>1743</w:t>
            </w:r>
          </w:p>
          <w:p w14:paraId="34BDABA6" w14:textId="676F5847" w:rsidR="00B17211" w:rsidRDefault="00456324" w:rsidP="00EE2373">
            <w:r w:rsidRPr="007F490F">
              <w:rPr>
                <w:rStyle w:val="Heading2Char"/>
              </w:rPr>
              <w:t>Respon</w:t>
            </w:r>
            <w:r w:rsidR="007D55F6">
              <w:rPr>
                <w:rStyle w:val="Heading2Char"/>
              </w:rPr>
              <w:t>ded to:</w:t>
            </w:r>
            <w:r w:rsidR="007F490F">
              <w:t xml:space="preserve">  </w:t>
            </w:r>
            <w:r w:rsidR="00102DA7">
              <w:t xml:space="preserve">07 November </w:t>
            </w:r>
            <w:r>
              <w:t>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8EC3E81" w14:textId="77777777" w:rsidR="00E77681" w:rsidRPr="00E77681" w:rsidRDefault="00E77681" w:rsidP="00E77681">
      <w:pPr>
        <w:pStyle w:val="Heading2"/>
      </w:pPr>
      <w:r w:rsidRPr="00E77681">
        <w:t>1. Procedures for Handling Article 17 Requests</w:t>
      </w:r>
    </w:p>
    <w:p w14:paraId="782BE35D" w14:textId="77777777" w:rsidR="00E77681" w:rsidRPr="00E77681" w:rsidRDefault="00E77681" w:rsidP="00E77681">
      <w:pPr>
        <w:pStyle w:val="Heading2"/>
      </w:pPr>
      <w:r w:rsidRPr="00E77681">
        <w:t>Police Scotland’s current standard operating procedures (SOPs), internal guidance, or frameworks used to assess and respond to data subject erasure requests.</w:t>
      </w:r>
    </w:p>
    <w:p w14:paraId="10AA3349" w14:textId="77777777" w:rsidR="00E77681" w:rsidRDefault="00E77681" w:rsidP="00E77681">
      <w:pPr>
        <w:pStyle w:val="Heading2"/>
      </w:pPr>
      <w:r w:rsidRPr="00E77681">
        <w:t>Any documentation outlining how legal obligations, proportionality, public interest, or necessity are assessed during the decision-making process.</w:t>
      </w:r>
    </w:p>
    <w:p w14:paraId="05ACB435" w14:textId="03734BEF" w:rsidR="0021273A" w:rsidRDefault="0021273A" w:rsidP="0021273A">
      <w:r>
        <w:t xml:space="preserve">The </w:t>
      </w:r>
      <w:r w:rsidR="00220842">
        <w:t>information requested</w:t>
      </w:r>
      <w:r>
        <w:t xml:space="preserve"> is publicly available: </w:t>
      </w:r>
      <w:hyperlink r:id="rId12" w:tooltip="Police Scotland Publication Scheme SOP Data Protection V10.00" w:history="1">
        <w:r w:rsidRPr="0021273A">
          <w:rPr>
            <w:rStyle w:val="Hyperlink"/>
          </w:rPr>
          <w:t>Data Protection SOP</w:t>
        </w:r>
      </w:hyperlink>
    </w:p>
    <w:p w14:paraId="3BFF7C10" w14:textId="77777777" w:rsidR="0021273A" w:rsidRDefault="0021273A" w:rsidP="0021273A">
      <w:r>
        <w:t>The information is therefore held by Police Scotland, but I am refusing to provide it in terms of s</w:t>
      </w:r>
      <w:r w:rsidRPr="00453F0A">
        <w:t>ection 16</w:t>
      </w:r>
      <w:r>
        <w:t>(1) of the Act on the basis that the section 25(1) exemption applies:</w:t>
      </w:r>
    </w:p>
    <w:p w14:paraId="53473F10" w14:textId="77777777" w:rsidR="0021273A" w:rsidRDefault="0021273A" w:rsidP="0021273A">
      <w:r>
        <w:t>“Information which the applicant can reasonably obtain other than by requesting it […] is exempt information”.</w:t>
      </w:r>
    </w:p>
    <w:p w14:paraId="01D56305" w14:textId="136402D1" w:rsidR="0021273A" w:rsidRDefault="00877A7F" w:rsidP="0021273A">
      <w:r>
        <w:t>Additionally,</w:t>
      </w:r>
      <w:r w:rsidR="009F7DA5">
        <w:t xml:space="preserve"> please see the attached document titled Applicant data 0</w:t>
      </w:r>
      <w:r w:rsidR="00605A16">
        <w:t xml:space="preserve">1 which provides a structural flowchart of work direction. </w:t>
      </w:r>
    </w:p>
    <w:p w14:paraId="54883A2D" w14:textId="7F3A8388" w:rsidR="00605A16" w:rsidRDefault="00605A16" w:rsidP="00605A16">
      <w:pPr>
        <w:tabs>
          <w:tab w:val="left" w:pos="5400"/>
        </w:tabs>
      </w:pPr>
      <w:r>
        <w:t>Finally, Police Scotland do hold an Individual Rights Guidance document, however this document is in draft form and is not suitable for disclosure as such the information sought is held by Police Scotland, but I am refusing to provide it in terms of s</w:t>
      </w:r>
      <w:r w:rsidRPr="00453F0A">
        <w:t>ection 16</w:t>
      </w:r>
      <w:r>
        <w:t xml:space="preserve">(1) of the Act on the basis that the section 30(c) prejudice to the effective conduct of public affairs, exemption applies. </w:t>
      </w:r>
    </w:p>
    <w:p w14:paraId="401001E2" w14:textId="216F7592" w:rsidR="00605A16" w:rsidRDefault="00605A16" w:rsidP="00605A16">
      <w:pPr>
        <w:tabs>
          <w:tab w:val="left" w:pos="5400"/>
        </w:tabs>
      </w:pPr>
      <w:r>
        <w:t xml:space="preserve">By way of explanation, to permit draft documents into a </w:t>
      </w:r>
      <w:r w:rsidR="00FC52FB">
        <w:t xml:space="preserve">public environment has the potential to misguide and misinform members of the public. Police Scotland are committed to transparency, </w:t>
      </w:r>
      <w:r w:rsidR="00DE020E">
        <w:t>however,</w:t>
      </w:r>
      <w:r w:rsidR="00FC52FB">
        <w:t xml:space="preserve"> to disclose incomplete documents would hinder that commitment.</w:t>
      </w:r>
    </w:p>
    <w:p w14:paraId="1025409A" w14:textId="562B4009" w:rsidR="00605A16" w:rsidRDefault="00605A16" w:rsidP="0021273A"/>
    <w:p w14:paraId="0F8C0CF6" w14:textId="77777777" w:rsidR="00877A7F" w:rsidRDefault="00877A7F" w:rsidP="0021273A"/>
    <w:p w14:paraId="02D4DA0A" w14:textId="6CE66C7F" w:rsidR="00877A7F" w:rsidRPr="00877A7F" w:rsidRDefault="00E77681" w:rsidP="00877A7F">
      <w:pPr>
        <w:pStyle w:val="Heading2"/>
      </w:pPr>
      <w:r w:rsidRPr="00E77681">
        <w:lastRenderedPageBreak/>
        <w:t>2. Retention and Weeding Schedules</w:t>
      </w:r>
    </w:p>
    <w:p w14:paraId="36465F1E" w14:textId="77777777" w:rsidR="00E77681" w:rsidRDefault="00E77681" w:rsidP="00E77681">
      <w:pPr>
        <w:pStyle w:val="Heading2"/>
      </w:pPr>
      <w:r w:rsidRPr="00E77681">
        <w:t>Please provide the most recent data retention and weeding schedules in force for the following systems:</w:t>
      </w:r>
    </w:p>
    <w:p w14:paraId="670D8611" w14:textId="63E3C1FD" w:rsidR="00E77681" w:rsidRPr="00E77681" w:rsidRDefault="00E77681" w:rsidP="00E77681">
      <w:pPr>
        <w:pStyle w:val="Heading2"/>
      </w:pPr>
      <w:r w:rsidRPr="00E77681">
        <w:t>Scottish Criminal History System (CHS)</w:t>
      </w:r>
    </w:p>
    <w:p w14:paraId="1CC23C2C" w14:textId="3395E1F3" w:rsidR="00E77681" w:rsidRPr="00E77681" w:rsidRDefault="00E77681" w:rsidP="00E77681">
      <w:pPr>
        <w:pStyle w:val="Heading2"/>
      </w:pPr>
      <w:r w:rsidRPr="00E77681">
        <w:t>National Crime Recording System (UNIFI)</w:t>
      </w:r>
    </w:p>
    <w:p w14:paraId="10E12F92" w14:textId="1809F55B" w:rsidR="00E77681" w:rsidRDefault="00E77681" w:rsidP="00E77681">
      <w:pPr>
        <w:pStyle w:val="Heading2"/>
      </w:pPr>
      <w:r w:rsidRPr="00E77681">
        <w:t>National Custody Recording System</w:t>
      </w:r>
    </w:p>
    <w:p w14:paraId="2CD565D9" w14:textId="511661E0" w:rsidR="00E77681" w:rsidRDefault="00E77681" w:rsidP="00E77681">
      <w:pPr>
        <w:pStyle w:val="Heading2"/>
      </w:pPr>
      <w:r w:rsidRPr="00E77681">
        <w:t>Command &amp; Control Incident System</w:t>
      </w:r>
    </w:p>
    <w:p w14:paraId="4F9A0C25" w14:textId="77777777" w:rsidR="00877A7F" w:rsidRDefault="00E77681" w:rsidP="00E77681">
      <w:pPr>
        <w:pStyle w:val="Heading2"/>
      </w:pPr>
      <w:r w:rsidRPr="00E77681">
        <w:t>Interim Vulnerable Persons Database (IVPD)</w:t>
      </w:r>
    </w:p>
    <w:p w14:paraId="358083FC" w14:textId="77777777" w:rsidR="005B51D6" w:rsidRPr="001C59F3" w:rsidRDefault="005B51D6" w:rsidP="005B51D6">
      <w:pPr>
        <w:pStyle w:val="Heading2"/>
      </w:pPr>
      <w:r w:rsidRPr="00E77681">
        <w:t>Please also indicate whether any of these systems are subject to exemptions from erasure under data protection law or internal policy.</w:t>
      </w:r>
    </w:p>
    <w:p w14:paraId="6598E725" w14:textId="6DFC6750" w:rsidR="00877A7F" w:rsidRDefault="001C59F3" w:rsidP="00877A7F">
      <w:r>
        <w:t xml:space="preserve">The information requested is publicly available: </w:t>
      </w:r>
      <w:hyperlink r:id="rId13" w:tooltip="Record Retention Sop" w:history="1">
        <w:r w:rsidRPr="001C59F3">
          <w:rPr>
            <w:rStyle w:val="Hyperlink"/>
          </w:rPr>
          <w:t>Record Retention SOP</w:t>
        </w:r>
      </w:hyperlink>
    </w:p>
    <w:p w14:paraId="500BAD6D" w14:textId="77777777" w:rsidR="001C59F3" w:rsidRDefault="001C59F3" w:rsidP="001C59F3">
      <w:r>
        <w:t>The information is therefore held by Police Scotland, but I am refusing to provide it in terms of s</w:t>
      </w:r>
      <w:r w:rsidRPr="00453F0A">
        <w:t>ection 16</w:t>
      </w:r>
      <w:r>
        <w:t>(1) of the Act on the basis that the section 25(1) exemption applies:</w:t>
      </w:r>
    </w:p>
    <w:p w14:paraId="5CB02083" w14:textId="733D5D11" w:rsidR="00877A7F" w:rsidRDefault="001C59F3" w:rsidP="00877A7F">
      <w:r>
        <w:t>“Information which the applicant can reasonably obtain other than by requesting it […] is exempt information”.</w:t>
      </w:r>
    </w:p>
    <w:p w14:paraId="70385BD8" w14:textId="77777777" w:rsidR="00DE020E" w:rsidRPr="00877A7F" w:rsidRDefault="00DE020E" w:rsidP="00877A7F"/>
    <w:p w14:paraId="62746AEE" w14:textId="77777777" w:rsidR="00E77681" w:rsidRDefault="00E77681" w:rsidP="00E77681">
      <w:pPr>
        <w:pStyle w:val="Heading2"/>
      </w:pPr>
      <w:r w:rsidRPr="00E77681">
        <w:t>3. Officer Training and Governance</w:t>
      </w:r>
    </w:p>
    <w:p w14:paraId="5099194E" w14:textId="1C6CA88B" w:rsidR="00E77681" w:rsidRDefault="00E77681" w:rsidP="00E77681">
      <w:pPr>
        <w:pStyle w:val="Heading2"/>
      </w:pPr>
      <w:r w:rsidRPr="00E77681">
        <w:t>Role descriptions, training materials, or competency frameworks for officers or staff responsible for processing Article 17 requests (e.g. Information Assurance Officers).</w:t>
      </w:r>
    </w:p>
    <w:p w14:paraId="0AE23C5E" w14:textId="77777777" w:rsidR="004C6F0B" w:rsidRDefault="004C6F0B" w:rsidP="004C6F0B">
      <w:pPr>
        <w:pStyle w:val="Heading2"/>
      </w:pPr>
      <w:r w:rsidRPr="00E77681">
        <w:t>Any internal procedures governing the review, supervision, or escalation of erasure decisions.</w:t>
      </w:r>
    </w:p>
    <w:p w14:paraId="128D75DB" w14:textId="4C884B73" w:rsidR="00FF7EB2" w:rsidRDefault="00FF7EB2" w:rsidP="00FF7EB2">
      <w:r>
        <w:t>Please find attached, the role profile for the Information Assurance officer role, please see attachment titled Attachment 02.</w:t>
      </w:r>
    </w:p>
    <w:p w14:paraId="17DF9F95" w14:textId="694BA75F" w:rsidR="00FF7EB2" w:rsidRDefault="00FF7EB2" w:rsidP="00FF7EB2">
      <w:r>
        <w:t>There is no specific training document that refers to the processing of Article 17 requests, as such section 17 of the Freedom of Information (Scotland) 2002, the information requested is not held.</w:t>
      </w:r>
    </w:p>
    <w:p w14:paraId="1B30D0FD" w14:textId="31F29168" w:rsidR="00FF7EB2" w:rsidRDefault="00FF7EB2" w:rsidP="00FF7EB2">
      <w:r>
        <w:t xml:space="preserve">All Police Scotland roles fall within the Competency Values Framework. Please view the link provided. </w:t>
      </w:r>
      <w:hyperlink r:id="rId14" w:history="1">
        <w:r>
          <w:rPr>
            <w:rStyle w:val="Hyperlink"/>
          </w:rPr>
          <w:t>Competency Values Framework</w:t>
        </w:r>
      </w:hyperlink>
    </w:p>
    <w:p w14:paraId="3620AEF1" w14:textId="77777777" w:rsidR="00E77681" w:rsidRDefault="00E77681" w:rsidP="00E77681">
      <w:pPr>
        <w:pStyle w:val="Heading2"/>
      </w:pPr>
      <w:r w:rsidRPr="00E77681">
        <w:lastRenderedPageBreak/>
        <w:t>Any internal procedures governing the review, supervision, or escalation of erasure decisions.</w:t>
      </w:r>
    </w:p>
    <w:p w14:paraId="01D09370" w14:textId="0734EB8A" w:rsidR="004C6F0B" w:rsidRPr="004C6F0B" w:rsidRDefault="004C6F0B" w:rsidP="004C6F0B">
      <w:pPr>
        <w:pStyle w:val="Heading2"/>
        <w:rPr>
          <w:b w:val="0"/>
          <w:bCs/>
        </w:rPr>
      </w:pPr>
      <w:r w:rsidRPr="004C6F0B">
        <w:rPr>
          <w:b w:val="0"/>
          <w:bCs/>
        </w:rPr>
        <w:t>With regard to an escalation process, each case is managed on an individual basis. The legislation directs applicants to the Information Commissioner’s Office</w:t>
      </w:r>
      <w:r>
        <w:rPr>
          <w:b w:val="0"/>
          <w:bCs/>
        </w:rPr>
        <w:t xml:space="preserve">. Please find the link below </w:t>
      </w:r>
      <w:hyperlink r:id="rId15" w:history="1">
        <w:r w:rsidRPr="004C6F0B">
          <w:rPr>
            <w:rStyle w:val="Hyperlink"/>
            <w:b w:val="0"/>
            <w:bCs/>
          </w:rPr>
          <w:t>Make a complaint | ICO</w:t>
        </w:r>
      </w:hyperlink>
    </w:p>
    <w:p w14:paraId="7C50D456" w14:textId="77777777" w:rsidR="004C6F0B" w:rsidRDefault="004C6F0B" w:rsidP="00E77681">
      <w:pPr>
        <w:pStyle w:val="Heading2"/>
      </w:pPr>
    </w:p>
    <w:p w14:paraId="30CC15F7" w14:textId="143CD1FF" w:rsidR="00E77681" w:rsidRPr="00E77681" w:rsidRDefault="00E77681" w:rsidP="00E77681">
      <w:pPr>
        <w:pStyle w:val="Heading2"/>
      </w:pPr>
      <w:r w:rsidRPr="00E77681">
        <w:t>4. Audits and Quality Control</w:t>
      </w:r>
    </w:p>
    <w:p w14:paraId="06E5DA15" w14:textId="14835999" w:rsidR="00E77681" w:rsidRPr="00E77681" w:rsidRDefault="00E77681" w:rsidP="00E77681">
      <w:pPr>
        <w:pStyle w:val="Heading2"/>
      </w:pPr>
      <w:r w:rsidRPr="00E77681">
        <w:t>Any internal or external audits or assessments (from January 2023 onward) relating to the handling of data subject rights or compliance with Article 17/DPA 2018 obligations.</w:t>
      </w:r>
    </w:p>
    <w:p w14:paraId="0ABDF024" w14:textId="0E110160" w:rsidR="00E77681" w:rsidRDefault="00E77681" w:rsidP="00E77681">
      <w:pPr>
        <w:pStyle w:val="Heading2"/>
      </w:pPr>
      <w:r w:rsidRPr="00E77681">
        <w:t>Any non-compliance findings or subsequent improvement actions recorded.</w:t>
      </w:r>
    </w:p>
    <w:p w14:paraId="52F01E8B" w14:textId="4FE6DEF5" w:rsidR="007C693E" w:rsidRDefault="00355501" w:rsidP="0079643F">
      <w:r>
        <w:t xml:space="preserve">The Police Service of Scotland Data Protection Audit Report has been provided, </w:t>
      </w:r>
      <w:r w:rsidR="007C693E">
        <w:t>please see attachment 0</w:t>
      </w:r>
      <w:r>
        <w:t>3</w:t>
      </w:r>
      <w:r w:rsidR="008B5CB0">
        <w:t>, please note that some personal details have been redacted</w:t>
      </w:r>
      <w:r>
        <w:t>.</w:t>
      </w:r>
    </w:p>
    <w:p w14:paraId="0A36C7B1" w14:textId="034F76F0" w:rsidR="008B5CB0" w:rsidRDefault="008B5CB0" w:rsidP="008B5CB0">
      <w:pPr>
        <w:tabs>
          <w:tab w:val="left" w:pos="5400"/>
        </w:tabs>
      </w:pPr>
      <w:r>
        <w:t>As such, the information sought is held by Police Scotland, but I am refusing to provide it in terms of s</w:t>
      </w:r>
      <w:r w:rsidRPr="00453F0A">
        <w:t>ection 16</w:t>
      </w:r>
      <w:r>
        <w:t>(1) of the Act on the basis that the exemption set out at section 38(1)(b) of the Act applies - personal data.</w:t>
      </w:r>
    </w:p>
    <w:p w14:paraId="729783E0" w14:textId="77777777" w:rsidR="008B5CB0" w:rsidRDefault="008B5CB0" w:rsidP="008B5CB0">
      <w:r>
        <w:t>Personal data is defined in Article 4 of the General Data Protection Regulation (GDPR) as:</w:t>
      </w:r>
    </w:p>
    <w:p w14:paraId="39AB1984" w14:textId="77777777" w:rsidR="008B5CB0" w:rsidRDefault="008B5CB0" w:rsidP="008B5CB0">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3FEC194" w14:textId="77777777" w:rsidR="008B5CB0" w:rsidRDefault="008B5CB0" w:rsidP="008B5CB0">
      <w:r>
        <w:t>Section 38(2A) of the Act provides that personal data is exempt from disclosure where disclosure would contravene any of the data protection principles set out at Article 5(1) of the GDPR which states that:</w:t>
      </w:r>
    </w:p>
    <w:p w14:paraId="0F5548CC" w14:textId="77777777" w:rsidR="008B5CB0" w:rsidRDefault="008B5CB0" w:rsidP="008B5CB0">
      <w:r>
        <w:t>‘Personal data shall be processed lawfully, fairly and in a transparent manner in relation to the data subject’.</w:t>
      </w:r>
    </w:p>
    <w:p w14:paraId="55D681AA" w14:textId="77777777" w:rsidR="008B5CB0" w:rsidRDefault="008B5CB0" w:rsidP="008B5CB0">
      <w:r>
        <w:t>Article 6 of the GDPR goes on to state that processing shall be lawful only if certain conditions are met. The only potentially applicable condition is Article 6(1)(f) which states:</w:t>
      </w:r>
    </w:p>
    <w:p w14:paraId="21394282" w14:textId="77777777" w:rsidR="008B5CB0" w:rsidRDefault="008B5CB0" w:rsidP="008B5CB0">
      <w:r>
        <w:lastRenderedPageBreak/>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2CB93059" w14:textId="77777777" w:rsidR="008B5CB0" w:rsidRPr="008B5CB0" w:rsidRDefault="008B5CB0" w:rsidP="008B5CB0">
      <w:r w:rsidRPr="008B5CB0">
        <w:t>Whilst I accept that you may have a legitimate interest with regards the disclosure of this information, I do not agree that disclosure could be considered necessary in the circumstances.</w:t>
      </w:r>
    </w:p>
    <w:p w14:paraId="578085DF" w14:textId="77777777" w:rsidR="008B5CB0" w:rsidRDefault="008B5CB0" w:rsidP="008B5CB0">
      <w:r>
        <w:t>Notwithstanding, I am further of the view that your interests are overridden by the interests or fundamental rights and freedoms of the data subjects.</w:t>
      </w:r>
    </w:p>
    <w:p w14:paraId="789C970C" w14:textId="77777777" w:rsidR="008B5CB0" w:rsidRDefault="008B5CB0" w:rsidP="008B5CB0">
      <w:r>
        <w:t>On that basis, it is considered that disclosure of the information sought would be unlawful.</w:t>
      </w:r>
    </w:p>
    <w:p w14:paraId="4443F4B0" w14:textId="77777777" w:rsidR="00355501" w:rsidRPr="0079643F" w:rsidRDefault="00355501" w:rsidP="0079643F"/>
    <w:p w14:paraId="5B67EC4E" w14:textId="3D6E7B98" w:rsidR="00E77681" w:rsidRPr="00E77681" w:rsidRDefault="00E77681" w:rsidP="00E77681">
      <w:pPr>
        <w:pStyle w:val="Heading2"/>
      </w:pPr>
      <w:r w:rsidRPr="00E77681">
        <w:t>5. Erasure Requests – Statistical Overview</w:t>
      </w:r>
    </w:p>
    <w:p w14:paraId="2CAC5739" w14:textId="52884724" w:rsidR="00E77681" w:rsidRPr="00E77681" w:rsidRDefault="00E77681" w:rsidP="00E77681">
      <w:pPr>
        <w:pStyle w:val="Heading2"/>
      </w:pPr>
      <w:r w:rsidRPr="00E77681">
        <w:t>For the period from 1 June 2024 to present, or the most recent 12-month period available, please provide:</w:t>
      </w:r>
    </w:p>
    <w:p w14:paraId="55EBBF4F" w14:textId="511E1083" w:rsidR="00E77681" w:rsidRPr="00E77681" w:rsidRDefault="00E77681" w:rsidP="00E77681">
      <w:pPr>
        <w:pStyle w:val="Heading2"/>
      </w:pPr>
      <w:r w:rsidRPr="00E77681">
        <w:t>The total number of Article 17 erasure requests received</w:t>
      </w:r>
    </w:p>
    <w:p w14:paraId="20DF6099" w14:textId="096C42AA" w:rsidR="00E77681" w:rsidRPr="00E77681" w:rsidRDefault="00E77681" w:rsidP="00E77681">
      <w:pPr>
        <w:pStyle w:val="Heading2"/>
      </w:pPr>
      <w:r w:rsidRPr="00E77681">
        <w:t>The number of requests:</w:t>
      </w:r>
    </w:p>
    <w:p w14:paraId="1EF17708" w14:textId="19463BC4" w:rsidR="00E77681" w:rsidRPr="00E77681" w:rsidRDefault="00E77681" w:rsidP="00E77681">
      <w:pPr>
        <w:pStyle w:val="Heading2"/>
      </w:pPr>
      <w:r w:rsidRPr="00E77681">
        <w:t>Fully upheld</w:t>
      </w:r>
    </w:p>
    <w:p w14:paraId="5A0AEF45" w14:textId="366F9709" w:rsidR="00E77681" w:rsidRPr="00E77681" w:rsidRDefault="00E77681" w:rsidP="00E77681">
      <w:pPr>
        <w:pStyle w:val="Heading2"/>
      </w:pPr>
      <w:r w:rsidRPr="00E77681">
        <w:t>Partially upheld</w:t>
      </w:r>
    </w:p>
    <w:p w14:paraId="576F9482" w14:textId="6C661A6F" w:rsidR="00E77681" w:rsidRDefault="00E77681" w:rsidP="00E77681">
      <w:pPr>
        <w:pStyle w:val="Heading2"/>
      </w:pPr>
      <w:r w:rsidRPr="00E77681">
        <w:t>Refused</w:t>
      </w:r>
    </w:p>
    <w:p w14:paraId="313728B3" w14:textId="77777777" w:rsidR="00220842" w:rsidRDefault="00FF35C6" w:rsidP="00FF35C6">
      <w:r>
        <w:t xml:space="preserve">The table below </w:t>
      </w:r>
      <w:r w:rsidR="00220842">
        <w:t>details</w:t>
      </w:r>
      <w:r>
        <w:t xml:space="preserve"> individual rights request (</w:t>
      </w:r>
      <w:r w:rsidRPr="00FF35C6">
        <w:t>IRR</w:t>
      </w:r>
      <w:r>
        <w:t xml:space="preserve">) figures.  </w:t>
      </w:r>
    </w:p>
    <w:p w14:paraId="3FD7EBC9" w14:textId="0CEB28E2" w:rsidR="00FF35C6" w:rsidRPr="00FF35C6" w:rsidRDefault="00FF35C6" w:rsidP="00FF35C6">
      <w:r>
        <w:t>Pl</w:t>
      </w:r>
      <w:r w:rsidRPr="00FF35C6">
        <w:t>ease note</w:t>
      </w:r>
      <w:r>
        <w:t xml:space="preserve"> that</w:t>
      </w:r>
      <w:r w:rsidRPr="00FF35C6">
        <w:t xml:space="preserve"> requests received can contain single or multiple </w:t>
      </w:r>
      <w:r>
        <w:t>rights requests regarding the erasure or rectification of a</w:t>
      </w:r>
      <w:r w:rsidR="00220842">
        <w:t>n</w:t>
      </w:r>
      <w:r>
        <w:t xml:space="preserve"> individual’s data</w:t>
      </w:r>
      <w:r w:rsidR="00220842">
        <w:t>,</w:t>
      </w:r>
      <w:r w:rsidRPr="00FF35C6">
        <w:t xml:space="preserve"> along with a disposal that may be offered as an alternative from what was initially requested</w:t>
      </w:r>
      <w:r>
        <w:t xml:space="preserve">. Figures relating to both erasure and rectification have been provided and are not </w:t>
      </w:r>
      <w:r w:rsidRPr="00FF35C6">
        <w:t>necessarily recorded individually</w:t>
      </w:r>
      <w:r>
        <w:t>.</w:t>
      </w:r>
    </w:p>
    <w:tbl>
      <w:tblPr>
        <w:tblStyle w:val="TableGrid"/>
        <w:tblW w:w="0" w:type="auto"/>
        <w:tblLook w:val="04A0" w:firstRow="1" w:lastRow="0" w:firstColumn="1" w:lastColumn="0" w:noHBand="0" w:noVBand="1"/>
        <w:tblCaption w:val="Erasure requests June 2024-June 2025 with outcome."/>
        <w:tblDescription w:val="Erasure requests June 2024-June 2025 with outcome."/>
      </w:tblPr>
      <w:tblGrid>
        <w:gridCol w:w="2125"/>
        <w:gridCol w:w="2311"/>
        <w:gridCol w:w="2204"/>
        <w:gridCol w:w="2271"/>
      </w:tblGrid>
      <w:tr w:rsidR="00936829" w14:paraId="79FF2E4F" w14:textId="0D51B17D" w:rsidTr="004D589F">
        <w:trPr>
          <w:tblHeader/>
        </w:trPr>
        <w:tc>
          <w:tcPr>
            <w:tcW w:w="2125" w:type="dxa"/>
            <w:shd w:val="clear" w:color="auto" w:fill="D9D9D9" w:themeFill="background1" w:themeFillShade="D9"/>
          </w:tcPr>
          <w:p w14:paraId="0EB17432" w14:textId="65FD9E51" w:rsidR="00936829" w:rsidRDefault="00936829" w:rsidP="00220842">
            <w:pPr>
              <w:spacing w:line="240" w:lineRule="auto"/>
            </w:pPr>
            <w:r>
              <w:t>Month/Year</w:t>
            </w:r>
          </w:p>
        </w:tc>
        <w:tc>
          <w:tcPr>
            <w:tcW w:w="2311" w:type="dxa"/>
            <w:shd w:val="clear" w:color="auto" w:fill="D9D9D9" w:themeFill="background1" w:themeFillShade="D9"/>
          </w:tcPr>
          <w:p w14:paraId="48C35527" w14:textId="5D1008BC" w:rsidR="00936829" w:rsidRDefault="00936829" w:rsidP="00220842">
            <w:pPr>
              <w:spacing w:line="240" w:lineRule="auto"/>
            </w:pPr>
            <w:r>
              <w:t>Request Accepted</w:t>
            </w:r>
          </w:p>
        </w:tc>
        <w:tc>
          <w:tcPr>
            <w:tcW w:w="2204" w:type="dxa"/>
            <w:shd w:val="clear" w:color="auto" w:fill="D9D9D9" w:themeFill="background1" w:themeFillShade="D9"/>
          </w:tcPr>
          <w:p w14:paraId="08A69718" w14:textId="0ACE37C8" w:rsidR="00936829" w:rsidRDefault="00936829" w:rsidP="00220842">
            <w:pPr>
              <w:spacing w:line="240" w:lineRule="auto"/>
            </w:pPr>
            <w:r>
              <w:t>Request Refused</w:t>
            </w:r>
          </w:p>
        </w:tc>
        <w:tc>
          <w:tcPr>
            <w:tcW w:w="2271" w:type="dxa"/>
            <w:shd w:val="clear" w:color="auto" w:fill="D9D9D9" w:themeFill="background1" w:themeFillShade="D9"/>
          </w:tcPr>
          <w:p w14:paraId="1212B12D" w14:textId="16287B86" w:rsidR="00936829" w:rsidRDefault="00936829" w:rsidP="00220842">
            <w:pPr>
              <w:spacing w:line="240" w:lineRule="auto"/>
            </w:pPr>
            <w:r>
              <w:t>Partially Accepted</w:t>
            </w:r>
          </w:p>
        </w:tc>
      </w:tr>
      <w:tr w:rsidR="00936829" w14:paraId="759EC276" w14:textId="7223B7A1" w:rsidTr="00936829">
        <w:tc>
          <w:tcPr>
            <w:tcW w:w="2125" w:type="dxa"/>
          </w:tcPr>
          <w:p w14:paraId="4DA08E8D" w14:textId="058481B5" w:rsidR="00936829" w:rsidRDefault="00936829" w:rsidP="00220842">
            <w:pPr>
              <w:spacing w:line="240" w:lineRule="auto"/>
            </w:pPr>
            <w:r>
              <w:t>June 2024</w:t>
            </w:r>
          </w:p>
        </w:tc>
        <w:tc>
          <w:tcPr>
            <w:tcW w:w="2311" w:type="dxa"/>
          </w:tcPr>
          <w:p w14:paraId="238988D2" w14:textId="4F71D5C2" w:rsidR="00936829" w:rsidRDefault="00936829" w:rsidP="00220842">
            <w:pPr>
              <w:spacing w:line="240" w:lineRule="auto"/>
            </w:pPr>
            <w:r>
              <w:t>3</w:t>
            </w:r>
          </w:p>
        </w:tc>
        <w:tc>
          <w:tcPr>
            <w:tcW w:w="2204" w:type="dxa"/>
          </w:tcPr>
          <w:p w14:paraId="6E52B2B5" w14:textId="5D225AE0" w:rsidR="00936829" w:rsidRDefault="00936829" w:rsidP="00220842">
            <w:pPr>
              <w:spacing w:line="240" w:lineRule="auto"/>
            </w:pPr>
            <w:r>
              <w:t>4</w:t>
            </w:r>
          </w:p>
        </w:tc>
        <w:tc>
          <w:tcPr>
            <w:tcW w:w="2271" w:type="dxa"/>
          </w:tcPr>
          <w:p w14:paraId="5F4882BD" w14:textId="2A1780BF" w:rsidR="00936829" w:rsidRDefault="00936829" w:rsidP="00220842">
            <w:pPr>
              <w:spacing w:line="240" w:lineRule="auto"/>
            </w:pPr>
            <w:r>
              <w:t>0</w:t>
            </w:r>
          </w:p>
        </w:tc>
      </w:tr>
      <w:tr w:rsidR="00936829" w14:paraId="16175BEA" w14:textId="7BCC722F" w:rsidTr="00936829">
        <w:tc>
          <w:tcPr>
            <w:tcW w:w="2125" w:type="dxa"/>
          </w:tcPr>
          <w:p w14:paraId="66971AAE" w14:textId="4F69415B" w:rsidR="00936829" w:rsidRDefault="00936829" w:rsidP="00220842">
            <w:pPr>
              <w:spacing w:line="240" w:lineRule="auto"/>
            </w:pPr>
            <w:r>
              <w:t>July 2024</w:t>
            </w:r>
          </w:p>
        </w:tc>
        <w:tc>
          <w:tcPr>
            <w:tcW w:w="2311" w:type="dxa"/>
          </w:tcPr>
          <w:p w14:paraId="4DE7821E" w14:textId="0A0536B1" w:rsidR="00936829" w:rsidRDefault="00936829" w:rsidP="00220842">
            <w:pPr>
              <w:spacing w:line="240" w:lineRule="auto"/>
            </w:pPr>
            <w:r>
              <w:t>2</w:t>
            </w:r>
          </w:p>
        </w:tc>
        <w:tc>
          <w:tcPr>
            <w:tcW w:w="2204" w:type="dxa"/>
          </w:tcPr>
          <w:p w14:paraId="45778ADF" w14:textId="050FECAF" w:rsidR="00936829" w:rsidRDefault="00936829" w:rsidP="00220842">
            <w:pPr>
              <w:spacing w:line="240" w:lineRule="auto"/>
            </w:pPr>
            <w:r>
              <w:t>8</w:t>
            </w:r>
          </w:p>
        </w:tc>
        <w:tc>
          <w:tcPr>
            <w:tcW w:w="2271" w:type="dxa"/>
          </w:tcPr>
          <w:p w14:paraId="6D4579FF" w14:textId="62B2FAA6" w:rsidR="00936829" w:rsidRDefault="00936829" w:rsidP="00220842">
            <w:pPr>
              <w:spacing w:line="240" w:lineRule="auto"/>
            </w:pPr>
            <w:r>
              <w:t>2</w:t>
            </w:r>
          </w:p>
        </w:tc>
      </w:tr>
      <w:tr w:rsidR="00936829" w14:paraId="045628CE" w14:textId="1D660E78" w:rsidTr="00936829">
        <w:tc>
          <w:tcPr>
            <w:tcW w:w="2125" w:type="dxa"/>
          </w:tcPr>
          <w:p w14:paraId="192DDDC0" w14:textId="5B937406" w:rsidR="00936829" w:rsidRDefault="00936829" w:rsidP="00220842">
            <w:pPr>
              <w:spacing w:line="240" w:lineRule="auto"/>
            </w:pPr>
            <w:r>
              <w:t>August 2024</w:t>
            </w:r>
          </w:p>
        </w:tc>
        <w:tc>
          <w:tcPr>
            <w:tcW w:w="2311" w:type="dxa"/>
          </w:tcPr>
          <w:p w14:paraId="0FA0DC01" w14:textId="0746954A" w:rsidR="00936829" w:rsidRDefault="00936829" w:rsidP="00220842">
            <w:pPr>
              <w:spacing w:line="240" w:lineRule="auto"/>
            </w:pPr>
            <w:r>
              <w:t>2</w:t>
            </w:r>
          </w:p>
        </w:tc>
        <w:tc>
          <w:tcPr>
            <w:tcW w:w="2204" w:type="dxa"/>
          </w:tcPr>
          <w:p w14:paraId="2924D041" w14:textId="39D9E956" w:rsidR="00936829" w:rsidRDefault="00936829" w:rsidP="00220842">
            <w:pPr>
              <w:spacing w:line="240" w:lineRule="auto"/>
            </w:pPr>
            <w:r>
              <w:t>2</w:t>
            </w:r>
          </w:p>
        </w:tc>
        <w:tc>
          <w:tcPr>
            <w:tcW w:w="2271" w:type="dxa"/>
          </w:tcPr>
          <w:p w14:paraId="6F45DB8C" w14:textId="77D95D95" w:rsidR="00936829" w:rsidRDefault="00936829" w:rsidP="00220842">
            <w:pPr>
              <w:spacing w:line="240" w:lineRule="auto"/>
            </w:pPr>
            <w:r>
              <w:t>0</w:t>
            </w:r>
          </w:p>
        </w:tc>
      </w:tr>
      <w:tr w:rsidR="00936829" w14:paraId="545C34EA" w14:textId="66046E69" w:rsidTr="00936829">
        <w:tc>
          <w:tcPr>
            <w:tcW w:w="2125" w:type="dxa"/>
          </w:tcPr>
          <w:p w14:paraId="78681C7B" w14:textId="65FFE3E3" w:rsidR="00936829" w:rsidRDefault="00936829" w:rsidP="00220842">
            <w:pPr>
              <w:spacing w:line="240" w:lineRule="auto"/>
            </w:pPr>
            <w:r>
              <w:lastRenderedPageBreak/>
              <w:t>September 2024</w:t>
            </w:r>
          </w:p>
        </w:tc>
        <w:tc>
          <w:tcPr>
            <w:tcW w:w="2311" w:type="dxa"/>
          </w:tcPr>
          <w:p w14:paraId="4D199CFC" w14:textId="68E8190F" w:rsidR="00936829" w:rsidRDefault="00936829" w:rsidP="00220842">
            <w:pPr>
              <w:spacing w:line="240" w:lineRule="auto"/>
            </w:pPr>
            <w:r>
              <w:t>3</w:t>
            </w:r>
          </w:p>
        </w:tc>
        <w:tc>
          <w:tcPr>
            <w:tcW w:w="2204" w:type="dxa"/>
          </w:tcPr>
          <w:p w14:paraId="6AA84497" w14:textId="2B163F13" w:rsidR="00936829" w:rsidRDefault="00936829" w:rsidP="00220842">
            <w:pPr>
              <w:spacing w:line="240" w:lineRule="auto"/>
            </w:pPr>
            <w:r>
              <w:t>8</w:t>
            </w:r>
          </w:p>
        </w:tc>
        <w:tc>
          <w:tcPr>
            <w:tcW w:w="2271" w:type="dxa"/>
          </w:tcPr>
          <w:p w14:paraId="530CA95B" w14:textId="0F7E8197" w:rsidR="00936829" w:rsidRDefault="00936829" w:rsidP="00220842">
            <w:pPr>
              <w:spacing w:line="240" w:lineRule="auto"/>
            </w:pPr>
            <w:r>
              <w:t>0</w:t>
            </w:r>
          </w:p>
        </w:tc>
      </w:tr>
      <w:tr w:rsidR="00936829" w14:paraId="1BC5DFA6" w14:textId="27C9E186" w:rsidTr="00936829">
        <w:tc>
          <w:tcPr>
            <w:tcW w:w="2125" w:type="dxa"/>
          </w:tcPr>
          <w:p w14:paraId="7066C999" w14:textId="7B748B6E" w:rsidR="00936829" w:rsidRDefault="00936829" w:rsidP="00220842">
            <w:pPr>
              <w:spacing w:line="240" w:lineRule="auto"/>
            </w:pPr>
            <w:r>
              <w:t>October 2024</w:t>
            </w:r>
          </w:p>
        </w:tc>
        <w:tc>
          <w:tcPr>
            <w:tcW w:w="2311" w:type="dxa"/>
          </w:tcPr>
          <w:p w14:paraId="3250F58F" w14:textId="20A5EC5C" w:rsidR="00936829" w:rsidRDefault="00936829" w:rsidP="00220842">
            <w:pPr>
              <w:spacing w:line="240" w:lineRule="auto"/>
            </w:pPr>
            <w:r>
              <w:t>2</w:t>
            </w:r>
          </w:p>
        </w:tc>
        <w:tc>
          <w:tcPr>
            <w:tcW w:w="2204" w:type="dxa"/>
          </w:tcPr>
          <w:p w14:paraId="66E935E7" w14:textId="18693980" w:rsidR="00936829" w:rsidRDefault="00936829" w:rsidP="00220842">
            <w:pPr>
              <w:spacing w:line="240" w:lineRule="auto"/>
            </w:pPr>
            <w:r>
              <w:t>7</w:t>
            </w:r>
          </w:p>
        </w:tc>
        <w:tc>
          <w:tcPr>
            <w:tcW w:w="2271" w:type="dxa"/>
          </w:tcPr>
          <w:p w14:paraId="06DDA6E1" w14:textId="17CFA032" w:rsidR="00936829" w:rsidRDefault="00936829" w:rsidP="00220842">
            <w:pPr>
              <w:spacing w:line="240" w:lineRule="auto"/>
            </w:pPr>
            <w:r>
              <w:t>3</w:t>
            </w:r>
          </w:p>
        </w:tc>
      </w:tr>
      <w:tr w:rsidR="00936829" w14:paraId="46885B5F" w14:textId="0057A703" w:rsidTr="00936829">
        <w:tc>
          <w:tcPr>
            <w:tcW w:w="2125" w:type="dxa"/>
          </w:tcPr>
          <w:p w14:paraId="72CE148D" w14:textId="77964A49" w:rsidR="00936829" w:rsidRDefault="00936829" w:rsidP="00220842">
            <w:pPr>
              <w:spacing w:line="240" w:lineRule="auto"/>
            </w:pPr>
            <w:r>
              <w:t>November 2024</w:t>
            </w:r>
          </w:p>
        </w:tc>
        <w:tc>
          <w:tcPr>
            <w:tcW w:w="2311" w:type="dxa"/>
          </w:tcPr>
          <w:p w14:paraId="66F76CD7" w14:textId="13415697" w:rsidR="00936829" w:rsidRDefault="00936829" w:rsidP="00220842">
            <w:pPr>
              <w:spacing w:line="240" w:lineRule="auto"/>
            </w:pPr>
            <w:r>
              <w:t>2</w:t>
            </w:r>
          </w:p>
        </w:tc>
        <w:tc>
          <w:tcPr>
            <w:tcW w:w="2204" w:type="dxa"/>
          </w:tcPr>
          <w:p w14:paraId="3D176B9E" w14:textId="38E7076D" w:rsidR="00936829" w:rsidRDefault="00936829" w:rsidP="00220842">
            <w:pPr>
              <w:spacing w:line="240" w:lineRule="auto"/>
            </w:pPr>
            <w:r>
              <w:t>12</w:t>
            </w:r>
          </w:p>
        </w:tc>
        <w:tc>
          <w:tcPr>
            <w:tcW w:w="2271" w:type="dxa"/>
          </w:tcPr>
          <w:p w14:paraId="3DAEC414" w14:textId="1214A130" w:rsidR="00936829" w:rsidRDefault="00936829" w:rsidP="00220842">
            <w:pPr>
              <w:spacing w:line="240" w:lineRule="auto"/>
            </w:pPr>
            <w:r>
              <w:t>2</w:t>
            </w:r>
          </w:p>
        </w:tc>
      </w:tr>
      <w:tr w:rsidR="00936829" w14:paraId="71907A5D" w14:textId="74A510A0" w:rsidTr="00936829">
        <w:tc>
          <w:tcPr>
            <w:tcW w:w="2125" w:type="dxa"/>
          </w:tcPr>
          <w:p w14:paraId="35989BCC" w14:textId="130927F1" w:rsidR="00936829" w:rsidRDefault="00936829" w:rsidP="00220842">
            <w:pPr>
              <w:spacing w:line="240" w:lineRule="auto"/>
            </w:pPr>
            <w:r>
              <w:t>December 2024</w:t>
            </w:r>
          </w:p>
        </w:tc>
        <w:tc>
          <w:tcPr>
            <w:tcW w:w="2311" w:type="dxa"/>
          </w:tcPr>
          <w:p w14:paraId="3A9DB2EF" w14:textId="3C7877F1" w:rsidR="00936829" w:rsidRDefault="00936829" w:rsidP="00220842">
            <w:pPr>
              <w:spacing w:line="240" w:lineRule="auto"/>
            </w:pPr>
            <w:r>
              <w:t>1</w:t>
            </w:r>
          </w:p>
        </w:tc>
        <w:tc>
          <w:tcPr>
            <w:tcW w:w="2204" w:type="dxa"/>
          </w:tcPr>
          <w:p w14:paraId="4EE63BC9" w14:textId="749E39A8" w:rsidR="00936829" w:rsidRDefault="00936829" w:rsidP="00220842">
            <w:pPr>
              <w:spacing w:line="240" w:lineRule="auto"/>
            </w:pPr>
            <w:r>
              <w:t>9</w:t>
            </w:r>
          </w:p>
        </w:tc>
        <w:tc>
          <w:tcPr>
            <w:tcW w:w="2271" w:type="dxa"/>
          </w:tcPr>
          <w:p w14:paraId="7B7BBEC9" w14:textId="7516CB74" w:rsidR="00936829" w:rsidRDefault="00936829" w:rsidP="00220842">
            <w:pPr>
              <w:spacing w:line="240" w:lineRule="auto"/>
            </w:pPr>
            <w:r>
              <w:t>3</w:t>
            </w:r>
          </w:p>
        </w:tc>
      </w:tr>
      <w:tr w:rsidR="00936829" w14:paraId="708761E6" w14:textId="55531E2D" w:rsidTr="00936829">
        <w:tc>
          <w:tcPr>
            <w:tcW w:w="2125" w:type="dxa"/>
          </w:tcPr>
          <w:p w14:paraId="7A691AF1" w14:textId="2C9056E4" w:rsidR="00936829" w:rsidRDefault="00936829" w:rsidP="00220842">
            <w:pPr>
              <w:spacing w:line="240" w:lineRule="auto"/>
            </w:pPr>
            <w:r>
              <w:t>January 2025</w:t>
            </w:r>
          </w:p>
        </w:tc>
        <w:tc>
          <w:tcPr>
            <w:tcW w:w="2311" w:type="dxa"/>
          </w:tcPr>
          <w:p w14:paraId="2D3B8929" w14:textId="068810DD" w:rsidR="00936829" w:rsidRDefault="00936829" w:rsidP="00220842">
            <w:pPr>
              <w:spacing w:line="240" w:lineRule="auto"/>
            </w:pPr>
            <w:r>
              <w:t>2</w:t>
            </w:r>
          </w:p>
        </w:tc>
        <w:tc>
          <w:tcPr>
            <w:tcW w:w="2204" w:type="dxa"/>
          </w:tcPr>
          <w:p w14:paraId="6009BC3D" w14:textId="2CFB9B2B" w:rsidR="00936829" w:rsidRDefault="00936829" w:rsidP="00220842">
            <w:pPr>
              <w:spacing w:line="240" w:lineRule="auto"/>
            </w:pPr>
            <w:r>
              <w:t>7</w:t>
            </w:r>
          </w:p>
        </w:tc>
        <w:tc>
          <w:tcPr>
            <w:tcW w:w="2271" w:type="dxa"/>
          </w:tcPr>
          <w:p w14:paraId="70B9999C" w14:textId="4B7C92E4" w:rsidR="00936829" w:rsidRDefault="00936829" w:rsidP="00220842">
            <w:pPr>
              <w:spacing w:line="240" w:lineRule="auto"/>
            </w:pPr>
            <w:r>
              <w:t>2</w:t>
            </w:r>
          </w:p>
        </w:tc>
      </w:tr>
      <w:tr w:rsidR="00936829" w14:paraId="3ED1756B" w14:textId="1B46D9C7" w:rsidTr="00936829">
        <w:tc>
          <w:tcPr>
            <w:tcW w:w="2125" w:type="dxa"/>
          </w:tcPr>
          <w:p w14:paraId="369AF2B1" w14:textId="56EF674E" w:rsidR="00936829" w:rsidRDefault="00936829" w:rsidP="00220842">
            <w:pPr>
              <w:spacing w:line="240" w:lineRule="auto"/>
            </w:pPr>
            <w:r>
              <w:t>February 2025</w:t>
            </w:r>
          </w:p>
        </w:tc>
        <w:tc>
          <w:tcPr>
            <w:tcW w:w="2311" w:type="dxa"/>
          </w:tcPr>
          <w:p w14:paraId="715D4318" w14:textId="051C1F9B" w:rsidR="00936829" w:rsidRDefault="00936829" w:rsidP="00220842">
            <w:pPr>
              <w:spacing w:line="240" w:lineRule="auto"/>
            </w:pPr>
            <w:r>
              <w:t>2</w:t>
            </w:r>
          </w:p>
        </w:tc>
        <w:tc>
          <w:tcPr>
            <w:tcW w:w="2204" w:type="dxa"/>
          </w:tcPr>
          <w:p w14:paraId="21E3E4E9" w14:textId="22F52A91" w:rsidR="00936829" w:rsidRDefault="00936829" w:rsidP="00220842">
            <w:pPr>
              <w:spacing w:line="240" w:lineRule="auto"/>
            </w:pPr>
            <w:r>
              <w:t>8</w:t>
            </w:r>
          </w:p>
        </w:tc>
        <w:tc>
          <w:tcPr>
            <w:tcW w:w="2271" w:type="dxa"/>
          </w:tcPr>
          <w:p w14:paraId="081D748C" w14:textId="326ECB6D" w:rsidR="00936829" w:rsidRDefault="00936829" w:rsidP="00220842">
            <w:pPr>
              <w:spacing w:line="240" w:lineRule="auto"/>
            </w:pPr>
            <w:r>
              <w:t>0</w:t>
            </w:r>
          </w:p>
        </w:tc>
      </w:tr>
      <w:tr w:rsidR="00936829" w14:paraId="6F4DBF18" w14:textId="6D0CDCBF" w:rsidTr="00936829">
        <w:tc>
          <w:tcPr>
            <w:tcW w:w="2125" w:type="dxa"/>
          </w:tcPr>
          <w:p w14:paraId="7FA5F1A5" w14:textId="0CB40DED" w:rsidR="00936829" w:rsidRDefault="00936829" w:rsidP="00220842">
            <w:pPr>
              <w:spacing w:line="240" w:lineRule="auto"/>
            </w:pPr>
            <w:r>
              <w:t>March 2025</w:t>
            </w:r>
          </w:p>
        </w:tc>
        <w:tc>
          <w:tcPr>
            <w:tcW w:w="2311" w:type="dxa"/>
          </w:tcPr>
          <w:p w14:paraId="1C343311" w14:textId="5F7EEAC3" w:rsidR="00936829" w:rsidRDefault="00936829" w:rsidP="00220842">
            <w:pPr>
              <w:spacing w:line="240" w:lineRule="auto"/>
            </w:pPr>
            <w:r>
              <w:t>1</w:t>
            </w:r>
          </w:p>
        </w:tc>
        <w:tc>
          <w:tcPr>
            <w:tcW w:w="2204" w:type="dxa"/>
          </w:tcPr>
          <w:p w14:paraId="1997CADA" w14:textId="009C2E2C" w:rsidR="00936829" w:rsidRDefault="00936829" w:rsidP="00220842">
            <w:pPr>
              <w:spacing w:line="240" w:lineRule="auto"/>
            </w:pPr>
            <w:r>
              <w:t>14</w:t>
            </w:r>
          </w:p>
        </w:tc>
        <w:tc>
          <w:tcPr>
            <w:tcW w:w="2271" w:type="dxa"/>
          </w:tcPr>
          <w:p w14:paraId="217D8CF1" w14:textId="02A409DB" w:rsidR="00936829" w:rsidRDefault="00936829" w:rsidP="00220842">
            <w:pPr>
              <w:spacing w:line="240" w:lineRule="auto"/>
            </w:pPr>
            <w:r>
              <w:t>2</w:t>
            </w:r>
          </w:p>
        </w:tc>
      </w:tr>
      <w:tr w:rsidR="00936829" w14:paraId="78096BC9" w14:textId="6894AF46" w:rsidTr="00936829">
        <w:tc>
          <w:tcPr>
            <w:tcW w:w="2125" w:type="dxa"/>
          </w:tcPr>
          <w:p w14:paraId="730F0273" w14:textId="472095AF" w:rsidR="00936829" w:rsidRDefault="00936829" w:rsidP="00220842">
            <w:pPr>
              <w:spacing w:line="240" w:lineRule="auto"/>
            </w:pPr>
            <w:r>
              <w:t>April 2025</w:t>
            </w:r>
          </w:p>
        </w:tc>
        <w:tc>
          <w:tcPr>
            <w:tcW w:w="2311" w:type="dxa"/>
          </w:tcPr>
          <w:p w14:paraId="21DDF4A2" w14:textId="6A1ACF0E" w:rsidR="00936829" w:rsidRDefault="00936829" w:rsidP="00220842">
            <w:pPr>
              <w:spacing w:line="240" w:lineRule="auto"/>
            </w:pPr>
            <w:r>
              <w:t>5</w:t>
            </w:r>
          </w:p>
        </w:tc>
        <w:tc>
          <w:tcPr>
            <w:tcW w:w="2204" w:type="dxa"/>
          </w:tcPr>
          <w:p w14:paraId="5AFEB242" w14:textId="40B5A937" w:rsidR="00936829" w:rsidRDefault="00936829" w:rsidP="00220842">
            <w:pPr>
              <w:spacing w:line="240" w:lineRule="auto"/>
            </w:pPr>
            <w:r>
              <w:t>1</w:t>
            </w:r>
          </w:p>
        </w:tc>
        <w:tc>
          <w:tcPr>
            <w:tcW w:w="2271" w:type="dxa"/>
          </w:tcPr>
          <w:p w14:paraId="2B14F356" w14:textId="14298C68" w:rsidR="00936829" w:rsidRDefault="00936829" w:rsidP="00220842">
            <w:pPr>
              <w:spacing w:line="240" w:lineRule="auto"/>
            </w:pPr>
            <w:r>
              <w:t>1</w:t>
            </w:r>
          </w:p>
        </w:tc>
      </w:tr>
      <w:tr w:rsidR="00936829" w14:paraId="34CA30FA" w14:textId="5DC7FB17" w:rsidTr="00936829">
        <w:tc>
          <w:tcPr>
            <w:tcW w:w="2125" w:type="dxa"/>
          </w:tcPr>
          <w:p w14:paraId="5D4A3548" w14:textId="3E7FA133" w:rsidR="00936829" w:rsidRDefault="00936829" w:rsidP="00220842">
            <w:pPr>
              <w:spacing w:line="240" w:lineRule="auto"/>
            </w:pPr>
            <w:r>
              <w:t>May 2025</w:t>
            </w:r>
          </w:p>
        </w:tc>
        <w:tc>
          <w:tcPr>
            <w:tcW w:w="2311" w:type="dxa"/>
          </w:tcPr>
          <w:p w14:paraId="02EAF795" w14:textId="18FC3B10" w:rsidR="00936829" w:rsidRDefault="00936829" w:rsidP="00220842">
            <w:pPr>
              <w:spacing w:line="240" w:lineRule="auto"/>
            </w:pPr>
            <w:r>
              <w:t>1</w:t>
            </w:r>
          </w:p>
        </w:tc>
        <w:tc>
          <w:tcPr>
            <w:tcW w:w="2204" w:type="dxa"/>
          </w:tcPr>
          <w:p w14:paraId="0B28BC3D" w14:textId="1F72A104" w:rsidR="00936829" w:rsidRDefault="00936829" w:rsidP="00220842">
            <w:pPr>
              <w:spacing w:line="240" w:lineRule="auto"/>
            </w:pPr>
            <w:r>
              <w:t>6</w:t>
            </w:r>
          </w:p>
        </w:tc>
        <w:tc>
          <w:tcPr>
            <w:tcW w:w="2271" w:type="dxa"/>
          </w:tcPr>
          <w:p w14:paraId="5BF87AD2" w14:textId="0B97E5E1" w:rsidR="00936829" w:rsidRDefault="00936829" w:rsidP="00220842">
            <w:pPr>
              <w:spacing w:line="240" w:lineRule="auto"/>
            </w:pPr>
            <w:r>
              <w:t>1</w:t>
            </w:r>
          </w:p>
        </w:tc>
      </w:tr>
      <w:tr w:rsidR="00936829" w14:paraId="2C07375D" w14:textId="668C9F7B" w:rsidTr="00936829">
        <w:tc>
          <w:tcPr>
            <w:tcW w:w="2125" w:type="dxa"/>
          </w:tcPr>
          <w:p w14:paraId="2E6A884A" w14:textId="422CE59F" w:rsidR="00936829" w:rsidRDefault="00936829" w:rsidP="00220842">
            <w:pPr>
              <w:spacing w:line="240" w:lineRule="auto"/>
            </w:pPr>
            <w:r>
              <w:t xml:space="preserve">June 2025 </w:t>
            </w:r>
          </w:p>
        </w:tc>
        <w:tc>
          <w:tcPr>
            <w:tcW w:w="2311" w:type="dxa"/>
          </w:tcPr>
          <w:p w14:paraId="47FB5473" w14:textId="5D5AB0E5" w:rsidR="00936829" w:rsidRDefault="00936829" w:rsidP="00220842">
            <w:pPr>
              <w:spacing w:line="240" w:lineRule="auto"/>
            </w:pPr>
            <w:r>
              <w:t>0</w:t>
            </w:r>
          </w:p>
        </w:tc>
        <w:tc>
          <w:tcPr>
            <w:tcW w:w="2204" w:type="dxa"/>
          </w:tcPr>
          <w:p w14:paraId="0FE3AA41" w14:textId="0B40F8E2" w:rsidR="00936829" w:rsidRDefault="00936829" w:rsidP="00220842">
            <w:pPr>
              <w:spacing w:line="240" w:lineRule="auto"/>
            </w:pPr>
            <w:r>
              <w:t>16</w:t>
            </w:r>
          </w:p>
        </w:tc>
        <w:tc>
          <w:tcPr>
            <w:tcW w:w="2271" w:type="dxa"/>
          </w:tcPr>
          <w:p w14:paraId="3BCF1FAE" w14:textId="5698B8B6" w:rsidR="00936829" w:rsidRDefault="00936829" w:rsidP="00220842">
            <w:pPr>
              <w:spacing w:line="240" w:lineRule="auto"/>
            </w:pPr>
            <w:r>
              <w:t>2</w:t>
            </w:r>
          </w:p>
        </w:tc>
      </w:tr>
    </w:tbl>
    <w:p w14:paraId="6636A03C" w14:textId="77777777" w:rsidR="004D589F" w:rsidRDefault="004D589F" w:rsidP="00E77681">
      <w:pPr>
        <w:pStyle w:val="Heading2"/>
      </w:pPr>
    </w:p>
    <w:p w14:paraId="3739DC9B" w14:textId="6312E060" w:rsidR="00E77681" w:rsidRDefault="00E77681" w:rsidP="00E77681">
      <w:pPr>
        <w:pStyle w:val="Heading2"/>
      </w:pPr>
      <w:r w:rsidRPr="00E77681">
        <w:t>A breakdown of the systems most commonly involved (e.g. CHS, biometric data, IVPD, UNIFI)</w:t>
      </w:r>
    </w:p>
    <w:p w14:paraId="02AF60BF" w14:textId="086A7266" w:rsidR="002759AD" w:rsidRPr="002759AD" w:rsidRDefault="002759AD" w:rsidP="002759AD">
      <w:r w:rsidRPr="002759AD">
        <w:t>Whilst the name of the source system may be referenced by the individual when submitting their IRR, it</w:t>
      </w:r>
      <w:r w:rsidR="00220842">
        <w:t xml:space="preserve"> i</w:t>
      </w:r>
      <w:r w:rsidRPr="002759AD">
        <w:t xml:space="preserve">s not always known. Therefore, whilst information is identified when an IRR application is investigated the name of the source system will be referenced within correspondence but is not specifically recorded in an easy and retrievable format given an application may cover multiple systems. However, I can confirm the following systems have been associated with IRRs within your timeframe of </w:t>
      </w:r>
      <w:r w:rsidR="002207BB" w:rsidRPr="002759AD">
        <w:t>enquiry</w:t>
      </w:r>
      <w:r w:rsidR="002207BB">
        <w:t>:</w:t>
      </w:r>
    </w:p>
    <w:p w14:paraId="20431F7E" w14:textId="77777777" w:rsidR="002759AD" w:rsidRPr="002759AD" w:rsidRDefault="002759AD" w:rsidP="002759AD">
      <w:pPr>
        <w:numPr>
          <w:ilvl w:val="0"/>
          <w:numId w:val="2"/>
        </w:numPr>
      </w:pPr>
      <w:r w:rsidRPr="002759AD">
        <w:t>Scottish Criminal History System (CHS)</w:t>
      </w:r>
    </w:p>
    <w:p w14:paraId="4A1BDF98" w14:textId="77777777" w:rsidR="002759AD" w:rsidRPr="002759AD" w:rsidRDefault="002759AD" w:rsidP="002759AD">
      <w:pPr>
        <w:numPr>
          <w:ilvl w:val="0"/>
          <w:numId w:val="2"/>
        </w:numPr>
      </w:pPr>
      <w:r w:rsidRPr="002759AD">
        <w:t>Police National Computer (PNC)</w:t>
      </w:r>
    </w:p>
    <w:p w14:paraId="2A5D9440" w14:textId="77777777" w:rsidR="002759AD" w:rsidRPr="002759AD" w:rsidRDefault="002759AD" w:rsidP="002759AD">
      <w:pPr>
        <w:numPr>
          <w:ilvl w:val="0"/>
          <w:numId w:val="2"/>
        </w:numPr>
      </w:pPr>
      <w:r w:rsidRPr="002759AD">
        <w:t>Interim Vulnerable Persons Database (IVPD)</w:t>
      </w:r>
    </w:p>
    <w:p w14:paraId="630D2068" w14:textId="77777777" w:rsidR="002759AD" w:rsidRPr="002759AD" w:rsidRDefault="002759AD" w:rsidP="002759AD">
      <w:pPr>
        <w:numPr>
          <w:ilvl w:val="0"/>
          <w:numId w:val="2"/>
        </w:numPr>
      </w:pPr>
      <w:r w:rsidRPr="002759AD">
        <w:t>Crime Reporting System (COS UNIFI)</w:t>
      </w:r>
    </w:p>
    <w:p w14:paraId="09A128BA" w14:textId="77777777" w:rsidR="002759AD" w:rsidRPr="002759AD" w:rsidRDefault="002759AD" w:rsidP="002759AD">
      <w:pPr>
        <w:numPr>
          <w:ilvl w:val="0"/>
          <w:numId w:val="2"/>
        </w:numPr>
      </w:pPr>
      <w:r w:rsidRPr="002759AD">
        <w:t>SCOPE (HR system)</w:t>
      </w:r>
    </w:p>
    <w:p w14:paraId="06A40D1D" w14:textId="77777777" w:rsidR="002759AD" w:rsidRPr="002759AD" w:rsidRDefault="002759AD" w:rsidP="002759AD">
      <w:pPr>
        <w:numPr>
          <w:ilvl w:val="0"/>
          <w:numId w:val="2"/>
        </w:numPr>
      </w:pPr>
      <w:r w:rsidRPr="002759AD">
        <w:t>DNA, Images, Fingerprints</w:t>
      </w:r>
    </w:p>
    <w:p w14:paraId="5E97C516" w14:textId="77777777" w:rsidR="002759AD" w:rsidRPr="002759AD" w:rsidRDefault="002759AD" w:rsidP="002759AD">
      <w:pPr>
        <w:numPr>
          <w:ilvl w:val="0"/>
          <w:numId w:val="2"/>
        </w:numPr>
      </w:pPr>
      <w:r w:rsidRPr="002759AD">
        <w:t>Scottish Intelligence Database (SID)</w:t>
      </w:r>
    </w:p>
    <w:p w14:paraId="7F70B5A1" w14:textId="77777777" w:rsidR="002759AD" w:rsidRPr="002759AD" w:rsidRDefault="002759AD" w:rsidP="002759AD">
      <w:pPr>
        <w:numPr>
          <w:ilvl w:val="0"/>
          <w:numId w:val="2"/>
        </w:numPr>
      </w:pPr>
      <w:r w:rsidRPr="002759AD">
        <w:t>STORM / ASPIRE</w:t>
      </w:r>
    </w:p>
    <w:p w14:paraId="21F4DD1F" w14:textId="77777777" w:rsidR="002759AD" w:rsidRPr="002759AD" w:rsidRDefault="002759AD" w:rsidP="002759AD">
      <w:pPr>
        <w:numPr>
          <w:ilvl w:val="0"/>
          <w:numId w:val="2"/>
        </w:numPr>
      </w:pPr>
      <w:r w:rsidRPr="002759AD">
        <w:lastRenderedPageBreak/>
        <w:t>Pentip Fixed Penalty</w:t>
      </w:r>
    </w:p>
    <w:p w14:paraId="49D3BD03" w14:textId="77777777" w:rsidR="002759AD" w:rsidRPr="002759AD" w:rsidRDefault="002759AD" w:rsidP="002759AD">
      <w:pPr>
        <w:numPr>
          <w:ilvl w:val="0"/>
          <w:numId w:val="2"/>
        </w:numPr>
      </w:pPr>
      <w:r w:rsidRPr="002759AD">
        <w:t>Pronto (Electronic Notebook)</w:t>
      </w:r>
    </w:p>
    <w:p w14:paraId="5B06F242" w14:textId="77777777" w:rsidR="002759AD" w:rsidRPr="002759AD" w:rsidRDefault="002759AD" w:rsidP="002759AD">
      <w:pPr>
        <w:numPr>
          <w:ilvl w:val="0"/>
          <w:numId w:val="2"/>
        </w:numPr>
      </w:pPr>
      <w:r w:rsidRPr="002759AD">
        <w:t>Centurion (Professional Standards solution to record Complaints)</w:t>
      </w:r>
    </w:p>
    <w:p w14:paraId="3488A379" w14:textId="77777777" w:rsidR="002759AD" w:rsidRPr="002759AD" w:rsidRDefault="002759AD" w:rsidP="002759AD">
      <w:pPr>
        <w:numPr>
          <w:ilvl w:val="0"/>
          <w:numId w:val="2"/>
        </w:numPr>
      </w:pPr>
      <w:r w:rsidRPr="002759AD">
        <w:t>National Custody</w:t>
      </w:r>
    </w:p>
    <w:p w14:paraId="04E5C8B3" w14:textId="77777777" w:rsidR="002207BB" w:rsidRDefault="002207BB" w:rsidP="00E77681">
      <w:pPr>
        <w:pStyle w:val="Heading2"/>
      </w:pPr>
    </w:p>
    <w:p w14:paraId="34BDABB8" w14:textId="45A27816" w:rsidR="00255F1E" w:rsidRPr="00B11A55" w:rsidRDefault="00E77681" w:rsidP="00E77681">
      <w:pPr>
        <w:pStyle w:val="Heading2"/>
      </w:pPr>
      <w:r w:rsidRPr="00E77681">
        <w:t>The number of requests that led to complaints, internal reviews, or referrals to the Information Commissioner’s Office</w:t>
      </w:r>
    </w:p>
    <w:p w14:paraId="34EF314D" w14:textId="77777777" w:rsidR="002207BB" w:rsidRDefault="002207BB" w:rsidP="00793DD5">
      <w:pPr>
        <w:tabs>
          <w:tab w:val="left" w:pos="5400"/>
        </w:tabs>
      </w:pPr>
      <w:r>
        <w:t xml:space="preserve">In terms of section 17 of the Act, Police Scotland does not hold the information requested. </w:t>
      </w:r>
    </w:p>
    <w:p w14:paraId="34BDABBD" w14:textId="6C1BF1D8" w:rsidR="00BF6B81" w:rsidRPr="00B11A55" w:rsidRDefault="002207BB" w:rsidP="00793DD5">
      <w:pPr>
        <w:tabs>
          <w:tab w:val="left" w:pos="5400"/>
        </w:tabs>
      </w:pPr>
      <w:r>
        <w:t xml:space="preserve">The legislation does not provide for an internal review or referral process when relating directly to article 17 requests. As such, Police Scotland does not hold the information requested. You may wish to direct your request to the Information Commissioner’s office.  </w:t>
      </w:r>
    </w:p>
    <w:p w14:paraId="5AD04852" w14:textId="429A8C0B" w:rsidR="00220842" w:rsidRDefault="00220842" w:rsidP="00793DD5"/>
    <w:p w14:paraId="34BDABBE" w14:textId="76B36255"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6"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7" w:history="1">
        <w:r w:rsidRPr="007C470A">
          <w:rPr>
            <w:rStyle w:val="Hyperlink"/>
          </w:rPr>
          <w:t>online</w:t>
        </w:r>
      </w:hyperlink>
      <w:r w:rsidRPr="007C470A">
        <w:t>,</w:t>
      </w:r>
      <w:r>
        <w:t xml:space="preserve"> by</w:t>
      </w:r>
      <w:r w:rsidRPr="007C470A">
        <w:t xml:space="preserve"> </w:t>
      </w:r>
      <w:hyperlink r:id="rId18"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9" w:history="1">
        <w:r>
          <w:rPr>
            <w:rStyle w:val="Hyperlink"/>
          </w:rPr>
          <w:t>Disclosure Log</w:t>
        </w:r>
      </w:hyperlink>
      <w:r w:rsidRPr="007C470A">
        <w:t xml:space="preserve"> in seven days' time.</w:t>
      </w:r>
    </w:p>
    <w:p w14:paraId="34BDABC4" w14:textId="17FB0E13" w:rsidR="007F490F" w:rsidRDefault="007F490F" w:rsidP="0034264D">
      <w:pPr>
        <w:jc w:val="both"/>
      </w:pPr>
      <w:r>
        <w:t>Every effort has been taken to ensure our response is as accessible as possible. If you require this response to be provided in an alternative format, please let us know.</w:t>
      </w:r>
    </w:p>
    <w:sectPr w:rsidR="007F490F" w:rsidSect="007F490F">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EAA7C1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2D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E724A6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2D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539A92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2D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DBC9DD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2DA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7746E7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2DA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12ED4A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02DA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20167"/>
    <w:multiLevelType w:val="hybridMultilevel"/>
    <w:tmpl w:val="9042BF16"/>
    <w:lvl w:ilvl="0" w:tplc="6A2228D4">
      <w:numFmt w:val="bullet"/>
      <w:lvlText w:val="-"/>
      <w:lvlJc w:val="left"/>
      <w:pPr>
        <w:ind w:left="360" w:hanging="360"/>
      </w:pPr>
      <w:rPr>
        <w:rFonts w:ascii="Aptos" w:eastAsia="Aptos" w:hAnsi="Aptos"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73034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02DA7"/>
    <w:rsid w:val="00141533"/>
    <w:rsid w:val="001576DD"/>
    <w:rsid w:val="00167528"/>
    <w:rsid w:val="00195CC4"/>
    <w:rsid w:val="001A2B03"/>
    <w:rsid w:val="001C59F3"/>
    <w:rsid w:val="00200AB9"/>
    <w:rsid w:val="00201727"/>
    <w:rsid w:val="00207326"/>
    <w:rsid w:val="0021273A"/>
    <w:rsid w:val="002207BB"/>
    <w:rsid w:val="00220842"/>
    <w:rsid w:val="00253DF6"/>
    <w:rsid w:val="00255F1E"/>
    <w:rsid w:val="002759AD"/>
    <w:rsid w:val="002B7114"/>
    <w:rsid w:val="00332319"/>
    <w:rsid w:val="00340809"/>
    <w:rsid w:val="0034264D"/>
    <w:rsid w:val="00346AEC"/>
    <w:rsid w:val="00351660"/>
    <w:rsid w:val="00355501"/>
    <w:rsid w:val="0036503B"/>
    <w:rsid w:val="003D6D03"/>
    <w:rsid w:val="003E12CA"/>
    <w:rsid w:val="004010DC"/>
    <w:rsid w:val="00412F3E"/>
    <w:rsid w:val="004341F0"/>
    <w:rsid w:val="00456324"/>
    <w:rsid w:val="00464084"/>
    <w:rsid w:val="00475460"/>
    <w:rsid w:val="00490317"/>
    <w:rsid w:val="00491644"/>
    <w:rsid w:val="00496A08"/>
    <w:rsid w:val="004C6F0B"/>
    <w:rsid w:val="004D589F"/>
    <w:rsid w:val="004E1605"/>
    <w:rsid w:val="004F653C"/>
    <w:rsid w:val="00540A52"/>
    <w:rsid w:val="00557306"/>
    <w:rsid w:val="0059321B"/>
    <w:rsid w:val="005B51D6"/>
    <w:rsid w:val="005F10F6"/>
    <w:rsid w:val="0060183F"/>
    <w:rsid w:val="00605A16"/>
    <w:rsid w:val="00645CFA"/>
    <w:rsid w:val="00657A5E"/>
    <w:rsid w:val="006D5799"/>
    <w:rsid w:val="00743BB0"/>
    <w:rsid w:val="00750D83"/>
    <w:rsid w:val="00752ED6"/>
    <w:rsid w:val="00785DBC"/>
    <w:rsid w:val="00793DD5"/>
    <w:rsid w:val="0079643F"/>
    <w:rsid w:val="007C693E"/>
    <w:rsid w:val="007D55F6"/>
    <w:rsid w:val="007F490F"/>
    <w:rsid w:val="0080345C"/>
    <w:rsid w:val="008060E5"/>
    <w:rsid w:val="0086779C"/>
    <w:rsid w:val="00874BFD"/>
    <w:rsid w:val="00877A7F"/>
    <w:rsid w:val="008964EF"/>
    <w:rsid w:val="008A6E44"/>
    <w:rsid w:val="008B5CB0"/>
    <w:rsid w:val="008C6936"/>
    <w:rsid w:val="00906245"/>
    <w:rsid w:val="00915E01"/>
    <w:rsid w:val="00936829"/>
    <w:rsid w:val="009631A4"/>
    <w:rsid w:val="00977296"/>
    <w:rsid w:val="009E3E5D"/>
    <w:rsid w:val="009F7DA5"/>
    <w:rsid w:val="00A061E3"/>
    <w:rsid w:val="00A25E93"/>
    <w:rsid w:val="00A320FF"/>
    <w:rsid w:val="00A70AC0"/>
    <w:rsid w:val="00A725F0"/>
    <w:rsid w:val="00A76527"/>
    <w:rsid w:val="00A84EA9"/>
    <w:rsid w:val="00AC443C"/>
    <w:rsid w:val="00AE741E"/>
    <w:rsid w:val="00B11A55"/>
    <w:rsid w:val="00B17211"/>
    <w:rsid w:val="00B4358E"/>
    <w:rsid w:val="00B461B2"/>
    <w:rsid w:val="00B654B6"/>
    <w:rsid w:val="00B71B3C"/>
    <w:rsid w:val="00BC1347"/>
    <w:rsid w:val="00BC389E"/>
    <w:rsid w:val="00BE1888"/>
    <w:rsid w:val="00BE5BE4"/>
    <w:rsid w:val="00BF4BEA"/>
    <w:rsid w:val="00BF6B81"/>
    <w:rsid w:val="00C077A8"/>
    <w:rsid w:val="00C14FF4"/>
    <w:rsid w:val="00C170D9"/>
    <w:rsid w:val="00C606A2"/>
    <w:rsid w:val="00C63872"/>
    <w:rsid w:val="00C84948"/>
    <w:rsid w:val="00C861FA"/>
    <w:rsid w:val="00CB3707"/>
    <w:rsid w:val="00CC705D"/>
    <w:rsid w:val="00CD0C53"/>
    <w:rsid w:val="00CF1111"/>
    <w:rsid w:val="00CF3300"/>
    <w:rsid w:val="00D05706"/>
    <w:rsid w:val="00D27DC5"/>
    <w:rsid w:val="00D44B13"/>
    <w:rsid w:val="00D47E36"/>
    <w:rsid w:val="00D7784F"/>
    <w:rsid w:val="00DA2748"/>
    <w:rsid w:val="00DD6CCD"/>
    <w:rsid w:val="00DE020E"/>
    <w:rsid w:val="00E55D79"/>
    <w:rsid w:val="00E75C65"/>
    <w:rsid w:val="00E77681"/>
    <w:rsid w:val="00E82E20"/>
    <w:rsid w:val="00EE2373"/>
    <w:rsid w:val="00EF4761"/>
    <w:rsid w:val="00EF6523"/>
    <w:rsid w:val="00F21D44"/>
    <w:rsid w:val="00F45D13"/>
    <w:rsid w:val="00FC2DA7"/>
    <w:rsid w:val="00FC52FB"/>
    <w:rsid w:val="00FE44E2"/>
    <w:rsid w:val="00FF35C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212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5202">
      <w:bodyDiv w:val="1"/>
      <w:marLeft w:val="0"/>
      <w:marRight w:val="0"/>
      <w:marTop w:val="0"/>
      <w:marBottom w:val="0"/>
      <w:divBdr>
        <w:top w:val="none" w:sz="0" w:space="0" w:color="auto"/>
        <w:left w:val="none" w:sz="0" w:space="0" w:color="auto"/>
        <w:bottom w:val="none" w:sz="0" w:space="0" w:color="auto"/>
        <w:right w:val="none" w:sz="0" w:space="0" w:color="auto"/>
      </w:divBdr>
    </w:div>
    <w:div w:id="450634457">
      <w:bodyDiv w:val="1"/>
      <w:marLeft w:val="0"/>
      <w:marRight w:val="0"/>
      <w:marTop w:val="0"/>
      <w:marBottom w:val="0"/>
      <w:divBdr>
        <w:top w:val="none" w:sz="0" w:space="0" w:color="auto"/>
        <w:left w:val="none" w:sz="0" w:space="0" w:color="auto"/>
        <w:bottom w:val="none" w:sz="0" w:space="0" w:color="auto"/>
        <w:right w:val="none" w:sz="0" w:space="0" w:color="auto"/>
      </w:divBdr>
    </w:div>
    <w:div w:id="567689217">
      <w:bodyDiv w:val="1"/>
      <w:marLeft w:val="0"/>
      <w:marRight w:val="0"/>
      <w:marTop w:val="0"/>
      <w:marBottom w:val="0"/>
      <w:divBdr>
        <w:top w:val="none" w:sz="0" w:space="0" w:color="auto"/>
        <w:left w:val="none" w:sz="0" w:space="0" w:color="auto"/>
        <w:bottom w:val="none" w:sz="0" w:space="0" w:color="auto"/>
        <w:right w:val="none" w:sz="0" w:space="0" w:color="auto"/>
      </w:divBdr>
    </w:div>
    <w:div w:id="739987678">
      <w:bodyDiv w:val="1"/>
      <w:marLeft w:val="0"/>
      <w:marRight w:val="0"/>
      <w:marTop w:val="0"/>
      <w:marBottom w:val="0"/>
      <w:divBdr>
        <w:top w:val="none" w:sz="0" w:space="0" w:color="auto"/>
        <w:left w:val="none" w:sz="0" w:space="0" w:color="auto"/>
        <w:bottom w:val="none" w:sz="0" w:space="0" w:color="auto"/>
        <w:right w:val="none" w:sz="0" w:space="0" w:color="auto"/>
      </w:divBdr>
    </w:div>
    <w:div w:id="1264649110">
      <w:bodyDiv w:val="1"/>
      <w:marLeft w:val="0"/>
      <w:marRight w:val="0"/>
      <w:marTop w:val="0"/>
      <w:marBottom w:val="0"/>
      <w:divBdr>
        <w:top w:val="none" w:sz="0" w:space="0" w:color="auto"/>
        <w:left w:val="none" w:sz="0" w:space="0" w:color="auto"/>
        <w:bottom w:val="none" w:sz="0" w:space="0" w:color="auto"/>
        <w:right w:val="none" w:sz="0" w:space="0" w:color="auto"/>
      </w:divBdr>
    </w:div>
    <w:div w:id="1299530433">
      <w:bodyDiv w:val="1"/>
      <w:marLeft w:val="0"/>
      <w:marRight w:val="0"/>
      <w:marTop w:val="0"/>
      <w:marBottom w:val="0"/>
      <w:divBdr>
        <w:top w:val="none" w:sz="0" w:space="0" w:color="auto"/>
        <w:left w:val="none" w:sz="0" w:space="0" w:color="auto"/>
        <w:bottom w:val="none" w:sz="0" w:space="0" w:color="auto"/>
        <w:right w:val="none" w:sz="0" w:space="0" w:color="auto"/>
      </w:divBdr>
    </w:div>
    <w:div w:id="1374816432">
      <w:bodyDiv w:val="1"/>
      <w:marLeft w:val="0"/>
      <w:marRight w:val="0"/>
      <w:marTop w:val="0"/>
      <w:marBottom w:val="0"/>
      <w:divBdr>
        <w:top w:val="none" w:sz="0" w:space="0" w:color="auto"/>
        <w:left w:val="none" w:sz="0" w:space="0" w:color="auto"/>
        <w:bottom w:val="none" w:sz="0" w:space="0" w:color="auto"/>
        <w:right w:val="none" w:sz="0" w:space="0" w:color="auto"/>
      </w:divBdr>
    </w:div>
    <w:div w:id="1435204139">
      <w:bodyDiv w:val="1"/>
      <w:marLeft w:val="0"/>
      <w:marRight w:val="0"/>
      <w:marTop w:val="0"/>
      <w:marBottom w:val="0"/>
      <w:divBdr>
        <w:top w:val="none" w:sz="0" w:space="0" w:color="auto"/>
        <w:left w:val="none" w:sz="0" w:space="0" w:color="auto"/>
        <w:bottom w:val="none" w:sz="0" w:space="0" w:color="auto"/>
        <w:right w:val="none" w:sz="0" w:space="0" w:color="auto"/>
      </w:divBdr>
    </w:div>
    <w:div w:id="1466308980">
      <w:bodyDiv w:val="1"/>
      <w:marLeft w:val="0"/>
      <w:marRight w:val="0"/>
      <w:marTop w:val="0"/>
      <w:marBottom w:val="0"/>
      <w:divBdr>
        <w:top w:val="none" w:sz="0" w:space="0" w:color="auto"/>
        <w:left w:val="none" w:sz="0" w:space="0" w:color="auto"/>
        <w:bottom w:val="none" w:sz="0" w:space="0" w:color="auto"/>
        <w:right w:val="none" w:sz="0" w:space="0" w:color="auto"/>
      </w:divBdr>
    </w:div>
    <w:div w:id="187846997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land.police.uk/spa-media/nhobty5i/record-retention-sop.docx" TargetMode="External"/><Relationship Id="rId18" Type="http://schemas.openxmlformats.org/officeDocument/2006/relationships/hyperlink" Target="mailto:enquiries@itspublicknowledge.inf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cotland.police.uk/spa-media/u1cjpnyy/police-scotland-publication-scheme-sop-data-protection-v10-00.docx" TargetMode="External"/><Relationship Id="rId17" Type="http://schemas.openxmlformats.org/officeDocument/2006/relationships/hyperlink" Target="http://www.itspublicknowledge.info/Appea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oi@scotland.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co.org.uk/make-a-complain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cotland.police.uk/access-to-information/freedom-of-information/disclosure-lo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nd.police.uk/spa-media/1hsddnf4/competency-and-values-framework-police-scotland.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797BF-7E3C-407A-85A8-19C586485F26}">
  <ds:schemaRefs>
    <ds:schemaRef ds:uri="http://schemas.openxmlformats.org/officeDocument/2006/bibliography"/>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4.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Skirving, Kimberley</cp:lastModifiedBy>
  <cp:revision>2</cp:revision>
  <dcterms:created xsi:type="dcterms:W3CDTF">2025-11-07T08:31:00Z</dcterms:created>
  <dcterms:modified xsi:type="dcterms:W3CDTF">2025-11-07T08:31:00Z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