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RPr="004D4550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Pr="004D4550" w:rsidRDefault="007F490F" w:rsidP="00540A52">
            <w:pPr>
              <w:pStyle w:val="Heading1"/>
              <w:spacing w:before="0" w:after="0" w:line="240" w:lineRule="auto"/>
              <w:rPr>
                <w:rFonts w:cs="Arial"/>
                <w:sz w:val="24"/>
                <w:szCs w:val="24"/>
              </w:rPr>
            </w:pPr>
            <w:r w:rsidRPr="004D4550">
              <w:rPr>
                <w:rFonts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D4550" w:rsidRDefault="00456324" w:rsidP="00B17211">
            <w:pPr>
              <w:pStyle w:val="Heading1"/>
              <w:spacing w:before="120"/>
              <w:rPr>
                <w:rFonts w:cs="Arial"/>
                <w:sz w:val="24"/>
                <w:szCs w:val="24"/>
              </w:rPr>
            </w:pPr>
          </w:p>
          <w:p w14:paraId="34BDABA4" w14:textId="77777777" w:rsidR="00B17211" w:rsidRPr="004D4550" w:rsidRDefault="007F490F" w:rsidP="00B17211">
            <w:pPr>
              <w:pStyle w:val="Heading1"/>
              <w:spacing w:before="120"/>
              <w:rPr>
                <w:rFonts w:cs="Arial"/>
                <w:sz w:val="24"/>
                <w:szCs w:val="24"/>
              </w:rPr>
            </w:pPr>
            <w:r w:rsidRPr="004D4550">
              <w:rPr>
                <w:rFonts w:cs="Arial"/>
                <w:sz w:val="24"/>
                <w:szCs w:val="24"/>
              </w:rPr>
              <w:t>Freedom of Information Response</w:t>
            </w:r>
          </w:p>
          <w:p w14:paraId="34BDABA5" w14:textId="5AF5200E" w:rsidR="00B17211" w:rsidRPr="004D4550" w:rsidRDefault="00B17211" w:rsidP="007F490F">
            <w:r w:rsidRPr="004D4550">
              <w:rPr>
                <w:rStyle w:val="Heading2Char"/>
                <w:rFonts w:cs="Arial"/>
                <w:szCs w:val="24"/>
              </w:rPr>
              <w:t>Our reference:</w:t>
            </w:r>
            <w:r w:rsidRPr="004D4550">
              <w:t xml:space="preserve">  FOI 2</w:t>
            </w:r>
            <w:r w:rsidR="00EF0FBB" w:rsidRPr="004D4550">
              <w:t>5</w:t>
            </w:r>
            <w:r w:rsidRPr="004D4550">
              <w:t>-</w:t>
            </w:r>
            <w:r w:rsidR="009E0B3B" w:rsidRPr="004D4550">
              <w:t>19</w:t>
            </w:r>
            <w:r w:rsidR="00FA59D8">
              <w:t>46</w:t>
            </w:r>
          </w:p>
          <w:p w14:paraId="34BDABA6" w14:textId="1971001E" w:rsidR="00B17211" w:rsidRPr="004D4550" w:rsidRDefault="00456324" w:rsidP="00EE2373">
            <w:r w:rsidRPr="004D4550">
              <w:rPr>
                <w:rStyle w:val="Heading2Char"/>
                <w:rFonts w:cs="Arial"/>
                <w:szCs w:val="24"/>
              </w:rPr>
              <w:t>Respon</w:t>
            </w:r>
            <w:r w:rsidR="007D55F6" w:rsidRPr="004D4550">
              <w:rPr>
                <w:rStyle w:val="Heading2Char"/>
                <w:rFonts w:cs="Arial"/>
                <w:szCs w:val="24"/>
              </w:rPr>
              <w:t>ded to:</w:t>
            </w:r>
            <w:r w:rsidR="007F490F" w:rsidRPr="004D4550">
              <w:t xml:space="preserve">  </w:t>
            </w:r>
            <w:r w:rsidR="00E47C3B">
              <w:t xml:space="preserve">17 </w:t>
            </w:r>
            <w:r w:rsidR="001C4938" w:rsidRPr="004D4550">
              <w:t>Ju</w:t>
            </w:r>
            <w:r w:rsidR="006E2B97" w:rsidRPr="004D4550">
              <w:t>ly</w:t>
            </w:r>
            <w:r w:rsidR="001C4938" w:rsidRPr="004D4550">
              <w:t xml:space="preserve"> </w:t>
            </w:r>
            <w:r w:rsidRPr="004D4550">
              <w:t>202</w:t>
            </w:r>
            <w:r w:rsidR="00EF0FBB" w:rsidRPr="004D4550">
              <w:t>5</w:t>
            </w:r>
          </w:p>
        </w:tc>
      </w:tr>
    </w:tbl>
    <w:p w14:paraId="34BDABA8" w14:textId="77777777" w:rsidR="00793DD5" w:rsidRPr="005A06FB" w:rsidRDefault="00793DD5" w:rsidP="0036503B">
      <w:pPr>
        <w:rPr>
          <w:b/>
        </w:rPr>
      </w:pPr>
      <w:r w:rsidRPr="005A06FB">
        <w:t xml:space="preserve">Your recent request for information is replicated below, together with </w:t>
      </w:r>
      <w:r w:rsidR="004341F0" w:rsidRPr="005A06FB">
        <w:t>our</w:t>
      </w:r>
      <w:r w:rsidRPr="005A06FB">
        <w:t xml:space="preserve"> response.</w:t>
      </w:r>
    </w:p>
    <w:p w14:paraId="197B74D9" w14:textId="3B5DB6D0" w:rsidR="00A8150E" w:rsidRPr="00A8150E" w:rsidRDefault="00A8150E" w:rsidP="00A8150E">
      <w:pPr>
        <w:tabs>
          <w:tab w:val="left" w:pos="5400"/>
        </w:tabs>
        <w:rPr>
          <w:b/>
          <w:bCs/>
        </w:rPr>
      </w:pPr>
      <w:r w:rsidRPr="00A8150E">
        <w:rPr>
          <w:b/>
          <w:bCs/>
        </w:rPr>
        <w:t>How much money has Police Scotland spent on non-disclosure agreements in the last five years, with a breakdown per year, per case, and whether the person who signed it was an officer or a member of the public?</w:t>
      </w:r>
    </w:p>
    <w:p w14:paraId="684DD194" w14:textId="153B2368" w:rsidR="00A16416" w:rsidRDefault="00A16416" w:rsidP="00A16416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5FE67FF" w14:textId="28984D61" w:rsidR="00F3698B" w:rsidRDefault="00A16416" w:rsidP="00077945">
      <w:r>
        <w:t xml:space="preserve">To explain, </w:t>
      </w:r>
      <w:r w:rsidR="00077945" w:rsidRPr="00077945">
        <w:t xml:space="preserve">Police Scotland does not record </w:t>
      </w:r>
      <w:r w:rsidR="00F3698B" w:rsidRPr="00F3698B">
        <w:t xml:space="preserve">non-disclosure agreements </w:t>
      </w:r>
      <w:r w:rsidR="00F3698B">
        <w:t>(</w:t>
      </w:r>
      <w:r w:rsidR="00077945" w:rsidRPr="00077945">
        <w:t>NDAs</w:t>
      </w:r>
      <w:r w:rsidR="00F3698B">
        <w:t>)</w:t>
      </w:r>
      <w:r w:rsidR="00077945" w:rsidRPr="00077945">
        <w:t xml:space="preserve"> </w:t>
      </w:r>
      <w:r w:rsidR="00F3698B">
        <w:t>in relation to</w:t>
      </w:r>
      <w:r w:rsidR="00077945" w:rsidRPr="00077945">
        <w:t xml:space="preserve"> all litigation files</w:t>
      </w:r>
      <w:r w:rsidR="00781219">
        <w:t>,</w:t>
      </w:r>
      <w:r w:rsidR="00F3698B">
        <w:t xml:space="preserve"> and </w:t>
      </w:r>
      <w:r w:rsidR="00781219">
        <w:t xml:space="preserve">so </w:t>
      </w:r>
      <w:r w:rsidR="00077945" w:rsidRPr="00077945">
        <w:t xml:space="preserve">we would </w:t>
      </w:r>
      <w:r w:rsidR="00F3698B">
        <w:t>have</w:t>
      </w:r>
      <w:r w:rsidR="00077945" w:rsidRPr="00077945">
        <w:t xml:space="preserve"> to review each file individually</w:t>
      </w:r>
      <w:r w:rsidR="00F3698B">
        <w:t xml:space="preserve"> </w:t>
      </w:r>
      <w:r w:rsidR="00F3698B" w:rsidRPr="00077945">
        <w:t xml:space="preserve">to ascertain whether an NDA </w:t>
      </w:r>
      <w:r w:rsidR="00781219">
        <w:t>was</w:t>
      </w:r>
      <w:r w:rsidR="00F3698B" w:rsidRPr="00077945">
        <w:t xml:space="preserve"> entered into</w:t>
      </w:r>
      <w:r w:rsidR="00077945" w:rsidRPr="00077945">
        <w:t xml:space="preserve">. </w:t>
      </w:r>
    </w:p>
    <w:p w14:paraId="23B9E4AB" w14:textId="36399BD9" w:rsidR="00A16416" w:rsidRPr="00077945" w:rsidRDefault="00077945" w:rsidP="00077945">
      <w:r w:rsidRPr="00077945">
        <w:t>Since 2021</w:t>
      </w:r>
      <w:r w:rsidR="00F3698B">
        <w:t>,</w:t>
      </w:r>
      <w:r w:rsidRPr="00077945">
        <w:t xml:space="preserve"> there </w:t>
      </w:r>
      <w:r w:rsidR="00F3698B">
        <w:t>are more than</w:t>
      </w:r>
      <w:r w:rsidRPr="00077945">
        <w:t xml:space="preserve"> 600 </w:t>
      </w:r>
      <w:r w:rsidR="00F3698B" w:rsidRPr="00077945">
        <w:t>litigation files where settlement or compensation payments have been made</w:t>
      </w:r>
      <w:r w:rsidR="00F3698B">
        <w:t xml:space="preserve">, </w:t>
      </w:r>
      <w:r w:rsidR="00A16416">
        <w:t xml:space="preserve">and </w:t>
      </w:r>
      <w:r w:rsidR="00F3698B">
        <w:t xml:space="preserve">we estimate </w:t>
      </w:r>
      <w:r w:rsidR="00A16416">
        <w:t>it would t</w:t>
      </w:r>
      <w:r w:rsidRPr="00077945">
        <w:t xml:space="preserve">ake around 10 minutes to individually review </w:t>
      </w:r>
      <w:r w:rsidR="00F3698B" w:rsidRPr="00077945">
        <w:t xml:space="preserve">each </w:t>
      </w:r>
      <w:r w:rsidRPr="00077945">
        <w:t>file</w:t>
      </w:r>
      <w:r w:rsidR="00F3698B">
        <w:t xml:space="preserve"> - </w:t>
      </w:r>
      <w:r w:rsidR="001565EA">
        <w:t xml:space="preserve">in </w:t>
      </w:r>
      <w:r w:rsidR="00A16416" w:rsidRPr="00453F0A">
        <w:t>excess</w:t>
      </w:r>
      <w:r w:rsidR="00A16416">
        <w:t xml:space="preserve"> of</w:t>
      </w:r>
      <w:r w:rsidR="00A16416" w:rsidRPr="00453F0A">
        <w:t xml:space="preserve"> </w:t>
      </w:r>
      <w:r w:rsidR="00A16416">
        <w:t>t</w:t>
      </w:r>
      <w:r w:rsidR="00A16416" w:rsidRPr="00453F0A">
        <w:t xml:space="preserve">he </w:t>
      </w:r>
      <w:r w:rsidR="00A16416" w:rsidRPr="00982D19">
        <w:t>current FOI cost threshold</w:t>
      </w:r>
      <w:r w:rsidRPr="00077945">
        <w:t>.</w:t>
      </w:r>
    </w:p>
    <w:p w14:paraId="716EA945" w14:textId="0A892313" w:rsidR="00077945" w:rsidRPr="00077945" w:rsidRDefault="00077945" w:rsidP="00077945">
      <w:r w:rsidRPr="00077945">
        <w:t>Police Scotland does, however, record NDAs entered into in relation to Employment Tribunal claims only</w:t>
      </w:r>
      <w:r w:rsidR="00F3698B">
        <w:t>,</w:t>
      </w:r>
      <w:r w:rsidRPr="00077945">
        <w:t xml:space="preserve"> and </w:t>
      </w:r>
      <w:r w:rsidR="001565EA">
        <w:t xml:space="preserve">we can </w:t>
      </w:r>
      <w:r w:rsidR="00F3698B">
        <w:t xml:space="preserve">therefore </w:t>
      </w:r>
      <w:r w:rsidRPr="00077945">
        <w:t>provide the following</w:t>
      </w:r>
      <w:r w:rsidR="00F3698B">
        <w:t xml:space="preserve"> information</w:t>
      </w:r>
      <w:r w:rsidR="001565EA">
        <w:t xml:space="preserve">: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4111"/>
        <w:gridCol w:w="4111"/>
      </w:tblGrid>
      <w:tr w:rsidR="00077945" w:rsidRPr="00F3698B" w14:paraId="7E0E66FF" w14:textId="77777777" w:rsidTr="00F3698B">
        <w:tc>
          <w:tcPr>
            <w:tcW w:w="126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3855E" w14:textId="77777777" w:rsidR="00077945" w:rsidRPr="00F3698B" w:rsidRDefault="00077945" w:rsidP="00F3698B">
            <w:pPr>
              <w:spacing w:line="240" w:lineRule="auto"/>
              <w:rPr>
                <w:b/>
                <w:bCs/>
              </w:rPr>
            </w:pPr>
            <w:bookmarkStart w:id="0" w:name="_Hlk203557822"/>
            <w:r w:rsidRPr="00F3698B">
              <w:rPr>
                <w:b/>
                <w:bCs/>
              </w:rPr>
              <w:t>Year</w:t>
            </w:r>
          </w:p>
        </w:tc>
        <w:tc>
          <w:tcPr>
            <w:tcW w:w="411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03DEB" w14:textId="2E53E772" w:rsidR="00077945" w:rsidRPr="00F3698B" w:rsidRDefault="00F3698B" w:rsidP="00F3698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Employment Tribunal</w:t>
            </w:r>
            <w:r w:rsidR="00077945" w:rsidRPr="00F3698B">
              <w:rPr>
                <w:b/>
                <w:bCs/>
              </w:rPr>
              <w:t xml:space="preserve"> NDAs</w:t>
            </w:r>
          </w:p>
        </w:tc>
        <w:tc>
          <w:tcPr>
            <w:tcW w:w="411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420E2" w14:textId="77777777" w:rsidR="00077945" w:rsidRPr="00F3698B" w:rsidRDefault="00077945" w:rsidP="00F3698B">
            <w:pPr>
              <w:spacing w:line="240" w:lineRule="auto"/>
              <w:jc w:val="center"/>
              <w:rPr>
                <w:b/>
                <w:bCs/>
              </w:rPr>
            </w:pPr>
            <w:r w:rsidRPr="00F3698B">
              <w:rPr>
                <w:b/>
                <w:bCs/>
              </w:rPr>
              <w:t>Total cost (£)</w:t>
            </w:r>
          </w:p>
        </w:tc>
      </w:tr>
      <w:tr w:rsidR="00077945" w:rsidRPr="00077945" w14:paraId="009B9484" w14:textId="77777777" w:rsidTr="00F3698B"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2503B" w14:textId="77777777" w:rsidR="00077945" w:rsidRPr="00077945" w:rsidRDefault="00077945" w:rsidP="00F3698B">
            <w:pPr>
              <w:spacing w:line="240" w:lineRule="auto"/>
            </w:pPr>
            <w:r w:rsidRPr="00077945">
              <w:t>2020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CAA32" w14:textId="77777777" w:rsidR="00077945" w:rsidRPr="00077945" w:rsidRDefault="00077945" w:rsidP="00F3698B">
            <w:pPr>
              <w:spacing w:line="240" w:lineRule="auto"/>
              <w:jc w:val="center"/>
            </w:pPr>
            <w:r w:rsidRPr="00077945">
              <w:t>7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A13EF" w14:textId="77777777" w:rsidR="00077945" w:rsidRPr="00077945" w:rsidRDefault="00077945" w:rsidP="00F3698B">
            <w:pPr>
              <w:spacing w:line="240" w:lineRule="auto"/>
              <w:jc w:val="center"/>
            </w:pPr>
            <w:r w:rsidRPr="00077945">
              <w:t>94,330</w:t>
            </w:r>
          </w:p>
        </w:tc>
      </w:tr>
      <w:tr w:rsidR="00077945" w:rsidRPr="00077945" w14:paraId="2ECF2477" w14:textId="77777777" w:rsidTr="00F3698B"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D3383" w14:textId="77777777" w:rsidR="00077945" w:rsidRPr="00077945" w:rsidRDefault="00077945" w:rsidP="00F3698B">
            <w:pPr>
              <w:spacing w:line="240" w:lineRule="auto"/>
            </w:pPr>
            <w:r w:rsidRPr="00077945">
              <w:t>2021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E2533" w14:textId="77777777" w:rsidR="00077945" w:rsidRPr="00077945" w:rsidRDefault="00077945" w:rsidP="00F3698B">
            <w:pPr>
              <w:spacing w:line="240" w:lineRule="auto"/>
              <w:jc w:val="center"/>
            </w:pPr>
            <w:r w:rsidRPr="00077945">
              <w:t>4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5D73D" w14:textId="77777777" w:rsidR="00077945" w:rsidRPr="00077945" w:rsidRDefault="00077945" w:rsidP="00F3698B">
            <w:pPr>
              <w:spacing w:line="240" w:lineRule="auto"/>
              <w:jc w:val="center"/>
            </w:pPr>
            <w:r w:rsidRPr="00077945">
              <w:t>63,801</w:t>
            </w:r>
          </w:p>
        </w:tc>
      </w:tr>
      <w:tr w:rsidR="00077945" w:rsidRPr="00077945" w14:paraId="40976F28" w14:textId="77777777" w:rsidTr="00F3698B">
        <w:trPr>
          <w:trHeight w:val="70"/>
        </w:trPr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6B2E2" w14:textId="77777777" w:rsidR="00077945" w:rsidRPr="00077945" w:rsidRDefault="00077945" w:rsidP="00F3698B">
            <w:pPr>
              <w:spacing w:line="240" w:lineRule="auto"/>
            </w:pPr>
            <w:r w:rsidRPr="00077945">
              <w:t>2022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97726" w14:textId="77777777" w:rsidR="00077945" w:rsidRPr="00077945" w:rsidRDefault="00077945" w:rsidP="00F3698B">
            <w:pPr>
              <w:spacing w:line="240" w:lineRule="auto"/>
              <w:jc w:val="center"/>
            </w:pPr>
            <w:r w:rsidRPr="00077945">
              <w:t>18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CA7A0" w14:textId="77777777" w:rsidR="00077945" w:rsidRPr="00077945" w:rsidRDefault="00077945" w:rsidP="00F3698B">
            <w:pPr>
              <w:spacing w:line="240" w:lineRule="auto"/>
              <w:jc w:val="center"/>
            </w:pPr>
            <w:r w:rsidRPr="00077945">
              <w:t>342,750</w:t>
            </w:r>
          </w:p>
        </w:tc>
      </w:tr>
      <w:tr w:rsidR="00077945" w:rsidRPr="00077945" w14:paraId="5BE6D47E" w14:textId="77777777" w:rsidTr="00F3698B"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016B2" w14:textId="77777777" w:rsidR="00077945" w:rsidRPr="00077945" w:rsidRDefault="00077945" w:rsidP="00F3698B">
            <w:pPr>
              <w:spacing w:line="240" w:lineRule="auto"/>
            </w:pPr>
            <w:r w:rsidRPr="00077945">
              <w:t>2023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350E1" w14:textId="77777777" w:rsidR="00077945" w:rsidRPr="00077945" w:rsidRDefault="00077945" w:rsidP="00F3698B">
            <w:pPr>
              <w:spacing w:line="240" w:lineRule="auto"/>
              <w:jc w:val="center"/>
            </w:pPr>
            <w:r w:rsidRPr="00077945">
              <w:t>14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293A3" w14:textId="51BE2881" w:rsidR="00077945" w:rsidRPr="00077945" w:rsidRDefault="00077945" w:rsidP="00F3698B">
            <w:pPr>
              <w:spacing w:line="240" w:lineRule="auto"/>
              <w:jc w:val="center"/>
            </w:pPr>
            <w:r w:rsidRPr="00077945">
              <w:t>2,134,023</w:t>
            </w:r>
          </w:p>
        </w:tc>
      </w:tr>
      <w:tr w:rsidR="00077945" w:rsidRPr="00077945" w14:paraId="58BF9E6C" w14:textId="77777777" w:rsidTr="00F3698B">
        <w:tc>
          <w:tcPr>
            <w:tcW w:w="1266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2BE6A" w14:textId="77777777" w:rsidR="00077945" w:rsidRPr="00077945" w:rsidRDefault="00077945" w:rsidP="00F3698B">
            <w:pPr>
              <w:spacing w:line="240" w:lineRule="auto"/>
            </w:pPr>
            <w:r w:rsidRPr="00077945">
              <w:t>2024</w:t>
            </w:r>
          </w:p>
        </w:tc>
        <w:tc>
          <w:tcPr>
            <w:tcW w:w="4111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FBDC6" w14:textId="77777777" w:rsidR="00077945" w:rsidRPr="00077945" w:rsidRDefault="00077945" w:rsidP="00F3698B">
            <w:pPr>
              <w:spacing w:line="240" w:lineRule="auto"/>
              <w:jc w:val="center"/>
            </w:pPr>
            <w:r w:rsidRPr="00077945">
              <w:t>6</w:t>
            </w:r>
          </w:p>
        </w:tc>
        <w:tc>
          <w:tcPr>
            <w:tcW w:w="4111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049E5" w14:textId="77777777" w:rsidR="00077945" w:rsidRPr="00077945" w:rsidRDefault="00077945" w:rsidP="00F3698B">
            <w:pPr>
              <w:spacing w:line="240" w:lineRule="auto"/>
              <w:jc w:val="center"/>
            </w:pPr>
            <w:r w:rsidRPr="00077945">
              <w:t>170,000</w:t>
            </w:r>
          </w:p>
        </w:tc>
      </w:tr>
      <w:tr w:rsidR="00077945" w:rsidRPr="00077945" w14:paraId="64008983" w14:textId="77777777" w:rsidTr="00F3698B"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D72F8" w14:textId="77777777" w:rsidR="00077945" w:rsidRPr="00077945" w:rsidRDefault="00077945" w:rsidP="00F3698B">
            <w:pPr>
              <w:spacing w:line="240" w:lineRule="auto"/>
            </w:pPr>
            <w:r w:rsidRPr="00077945">
              <w:t>2025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076D9" w14:textId="77777777" w:rsidR="00077945" w:rsidRPr="00077945" w:rsidRDefault="00077945" w:rsidP="00F3698B">
            <w:pPr>
              <w:spacing w:line="240" w:lineRule="auto"/>
              <w:jc w:val="center"/>
            </w:pPr>
            <w:r w:rsidRPr="00077945">
              <w:t>0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C4C1B" w14:textId="77777777" w:rsidR="00077945" w:rsidRPr="00077945" w:rsidRDefault="00077945" w:rsidP="00F3698B">
            <w:pPr>
              <w:spacing w:line="240" w:lineRule="auto"/>
              <w:jc w:val="center"/>
            </w:pPr>
            <w:r w:rsidRPr="00077945">
              <w:t>0</w:t>
            </w:r>
          </w:p>
        </w:tc>
      </w:tr>
      <w:bookmarkEnd w:id="0"/>
    </w:tbl>
    <w:p w14:paraId="03A86167" w14:textId="77777777" w:rsidR="00077945" w:rsidRPr="00077945" w:rsidRDefault="00077945" w:rsidP="00077945"/>
    <w:p w14:paraId="33DB1535" w14:textId="0CD1FC3D" w:rsidR="00F3698B" w:rsidRDefault="00F3698B" w:rsidP="006879B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lastRenderedPageBreak/>
        <w:t>In relation to a breakdown per case, the information sought is held by Police Scotland, but I am refusing to provide it in terms of s</w:t>
      </w:r>
      <w:r w:rsidRPr="00453F0A">
        <w:t>ection 16</w:t>
      </w:r>
      <w:r>
        <w:t>(1) of the Act on the basis that the following exemptions apply:</w:t>
      </w:r>
    </w:p>
    <w:p w14:paraId="31486091" w14:textId="2F419EA7" w:rsidR="00F3698B" w:rsidRDefault="00A34C5B" w:rsidP="00077945">
      <w:r>
        <w:t>Section 36(2)(b) - Confidentiality</w:t>
      </w:r>
    </w:p>
    <w:p w14:paraId="6DAD54BA" w14:textId="5B1B2B84" w:rsidR="00077945" w:rsidRPr="00077945" w:rsidRDefault="00077945" w:rsidP="00077945">
      <w:r w:rsidRPr="00077945">
        <w:t>As the individual sums are covered by an NDA</w:t>
      </w:r>
      <w:r w:rsidR="00A34C5B">
        <w:t>, disclosure would constitute an actionable breach of confidence by Police Scotland.</w:t>
      </w:r>
    </w:p>
    <w:p w14:paraId="2D985922" w14:textId="77777777" w:rsidR="00077945" w:rsidRPr="00077945" w:rsidRDefault="00077945" w:rsidP="00077945"/>
    <w:p w14:paraId="34BDABBE" w14:textId="1D6E8878" w:rsidR="00496A08" w:rsidRPr="004D4550" w:rsidRDefault="00077945" w:rsidP="00793DD5">
      <w:r>
        <w:t>I</w:t>
      </w:r>
      <w:r w:rsidR="00496A08" w:rsidRPr="004D4550">
        <w:t>f you require any further assistance</w:t>
      </w:r>
      <w:r w:rsidR="00645CFA" w:rsidRPr="004D4550">
        <w:t>,</w:t>
      </w:r>
      <w:r w:rsidR="00496A08" w:rsidRPr="004D4550">
        <w:t xml:space="preserve"> please contact us quoting the reference above.</w:t>
      </w:r>
    </w:p>
    <w:p w14:paraId="34BDABBF" w14:textId="77777777" w:rsidR="00496A08" w:rsidRPr="004D4550" w:rsidRDefault="00496A08" w:rsidP="00793DD5">
      <w:r w:rsidRPr="004D4550">
        <w:t xml:space="preserve">You can request a review of this response within the next 40 working days by </w:t>
      </w:r>
      <w:hyperlink r:id="rId11" w:history="1">
        <w:r w:rsidRPr="004D4550">
          <w:rPr>
            <w:rStyle w:val="Hyperlink"/>
          </w:rPr>
          <w:t>email</w:t>
        </w:r>
      </w:hyperlink>
      <w:r w:rsidRPr="004D4550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4D4550" w:rsidRDefault="00496A08" w:rsidP="00793DD5">
      <w:r w:rsidRPr="004D4550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4D4550">
          <w:rPr>
            <w:rStyle w:val="Hyperlink"/>
          </w:rPr>
          <w:t>online</w:t>
        </w:r>
      </w:hyperlink>
      <w:r w:rsidRPr="004D4550">
        <w:t xml:space="preserve">, by </w:t>
      </w:r>
      <w:hyperlink r:id="rId13" w:history="1">
        <w:r w:rsidRPr="004D4550">
          <w:rPr>
            <w:rStyle w:val="Hyperlink"/>
          </w:rPr>
          <w:t>email</w:t>
        </w:r>
      </w:hyperlink>
      <w:r w:rsidRPr="004D4550">
        <w:t xml:space="preserve"> or by letter (OSIC, Kinburn Castle, Doubledykes Road, St Andrews, KY16 9DS).</w:t>
      </w:r>
    </w:p>
    <w:p w14:paraId="34BDABC1" w14:textId="77777777" w:rsidR="00B461B2" w:rsidRPr="004D4550" w:rsidRDefault="00496A08" w:rsidP="00793DD5">
      <w:r w:rsidRPr="004D4550">
        <w:t>Following an OSIC appeal, you can appeal to the Court of Session on a point of law only.</w:t>
      </w:r>
      <w:r w:rsidR="00D47E36" w:rsidRPr="004D4550">
        <w:t xml:space="preserve"> </w:t>
      </w:r>
    </w:p>
    <w:p w14:paraId="34BDABC2" w14:textId="77777777" w:rsidR="00B11A55" w:rsidRPr="004D4550" w:rsidRDefault="00B11A55" w:rsidP="00793DD5">
      <w:r w:rsidRPr="004D4550">
        <w:t xml:space="preserve">This response will be added to our </w:t>
      </w:r>
      <w:hyperlink r:id="rId14" w:history="1">
        <w:r w:rsidRPr="004D4550">
          <w:rPr>
            <w:rStyle w:val="Hyperlink"/>
          </w:rPr>
          <w:t>Disclosure Log</w:t>
        </w:r>
      </w:hyperlink>
      <w:r w:rsidRPr="004D4550">
        <w:t xml:space="preserve"> in seven days' time.</w:t>
      </w:r>
    </w:p>
    <w:p w14:paraId="46D9EDC0" w14:textId="1510D422" w:rsidR="00B90E88" w:rsidRPr="004D4550" w:rsidRDefault="007F490F" w:rsidP="006E2DEE">
      <w:pPr>
        <w:jc w:val="both"/>
      </w:pPr>
      <w:r w:rsidRPr="004D4550">
        <w:t>Every effort has been taken to ensure our response is as accessible as possible. If you require this response to be provided in an alternative format, please let us know.</w:t>
      </w:r>
    </w:p>
    <w:sectPr w:rsidR="00B90E88" w:rsidRPr="004D4550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7120B"/>
    <w:multiLevelType w:val="hybridMultilevel"/>
    <w:tmpl w:val="EBC47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D71E4"/>
    <w:multiLevelType w:val="hybridMultilevel"/>
    <w:tmpl w:val="1EE8F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E2BAC"/>
    <w:multiLevelType w:val="hybridMultilevel"/>
    <w:tmpl w:val="29F88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25CA9"/>
    <w:multiLevelType w:val="hybridMultilevel"/>
    <w:tmpl w:val="AC92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4"/>
  </w:num>
  <w:num w:numId="2" w16cid:durableId="741677828">
    <w:abstractNumId w:val="3"/>
  </w:num>
  <w:num w:numId="3" w16cid:durableId="158891750">
    <w:abstractNumId w:val="0"/>
  </w:num>
  <w:num w:numId="4" w16cid:durableId="1589532944">
    <w:abstractNumId w:val="2"/>
  </w:num>
  <w:num w:numId="5" w16cid:durableId="797377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0006"/>
    <w:rsid w:val="00077945"/>
    <w:rsid w:val="00090F3B"/>
    <w:rsid w:val="000C2A16"/>
    <w:rsid w:val="000E2F19"/>
    <w:rsid w:val="000E6526"/>
    <w:rsid w:val="000F39C1"/>
    <w:rsid w:val="0011311C"/>
    <w:rsid w:val="00141533"/>
    <w:rsid w:val="00142F79"/>
    <w:rsid w:val="00151DD0"/>
    <w:rsid w:val="001565EA"/>
    <w:rsid w:val="001652CF"/>
    <w:rsid w:val="00167528"/>
    <w:rsid w:val="00195CC4"/>
    <w:rsid w:val="001C4938"/>
    <w:rsid w:val="001F549E"/>
    <w:rsid w:val="00203A35"/>
    <w:rsid w:val="00207326"/>
    <w:rsid w:val="00210917"/>
    <w:rsid w:val="00253DF6"/>
    <w:rsid w:val="00255F1E"/>
    <w:rsid w:val="002A70B5"/>
    <w:rsid w:val="002B1FE9"/>
    <w:rsid w:val="002F5274"/>
    <w:rsid w:val="0036503B"/>
    <w:rsid w:val="00376A4A"/>
    <w:rsid w:val="003D6D03"/>
    <w:rsid w:val="003E12CA"/>
    <w:rsid w:val="004010DC"/>
    <w:rsid w:val="00417195"/>
    <w:rsid w:val="004341F0"/>
    <w:rsid w:val="00456324"/>
    <w:rsid w:val="00475460"/>
    <w:rsid w:val="00490317"/>
    <w:rsid w:val="00491644"/>
    <w:rsid w:val="00491FF5"/>
    <w:rsid w:val="00496A08"/>
    <w:rsid w:val="004B1783"/>
    <w:rsid w:val="004D43FB"/>
    <w:rsid w:val="004D4550"/>
    <w:rsid w:val="004E1605"/>
    <w:rsid w:val="004E6F13"/>
    <w:rsid w:val="004F653C"/>
    <w:rsid w:val="005008EB"/>
    <w:rsid w:val="00540A52"/>
    <w:rsid w:val="00552E79"/>
    <w:rsid w:val="00557306"/>
    <w:rsid w:val="00587B6B"/>
    <w:rsid w:val="005A06FB"/>
    <w:rsid w:val="005C44A0"/>
    <w:rsid w:val="00641CEE"/>
    <w:rsid w:val="00645CFA"/>
    <w:rsid w:val="00664B9E"/>
    <w:rsid w:val="00667357"/>
    <w:rsid w:val="00676FD6"/>
    <w:rsid w:val="00685219"/>
    <w:rsid w:val="006D31B4"/>
    <w:rsid w:val="006D5799"/>
    <w:rsid w:val="006E2B97"/>
    <w:rsid w:val="006E2DEE"/>
    <w:rsid w:val="00726D24"/>
    <w:rsid w:val="007440EA"/>
    <w:rsid w:val="00745676"/>
    <w:rsid w:val="00750D83"/>
    <w:rsid w:val="00781219"/>
    <w:rsid w:val="00785DBC"/>
    <w:rsid w:val="00793DD5"/>
    <w:rsid w:val="00794190"/>
    <w:rsid w:val="007A69AD"/>
    <w:rsid w:val="007D2288"/>
    <w:rsid w:val="007D55F6"/>
    <w:rsid w:val="007F490F"/>
    <w:rsid w:val="0086779C"/>
    <w:rsid w:val="00872262"/>
    <w:rsid w:val="00874BFD"/>
    <w:rsid w:val="008940DF"/>
    <w:rsid w:val="008964EF"/>
    <w:rsid w:val="00915E01"/>
    <w:rsid w:val="0094729E"/>
    <w:rsid w:val="009631A4"/>
    <w:rsid w:val="00976B5E"/>
    <w:rsid w:val="00977296"/>
    <w:rsid w:val="00995E80"/>
    <w:rsid w:val="009A036E"/>
    <w:rsid w:val="009E0B3B"/>
    <w:rsid w:val="009F0409"/>
    <w:rsid w:val="00A04A7E"/>
    <w:rsid w:val="00A07AC7"/>
    <w:rsid w:val="00A16416"/>
    <w:rsid w:val="00A25E93"/>
    <w:rsid w:val="00A320FF"/>
    <w:rsid w:val="00A34C5B"/>
    <w:rsid w:val="00A70AC0"/>
    <w:rsid w:val="00A8150E"/>
    <w:rsid w:val="00A84EA9"/>
    <w:rsid w:val="00A94755"/>
    <w:rsid w:val="00A972D3"/>
    <w:rsid w:val="00AC05AE"/>
    <w:rsid w:val="00AC443C"/>
    <w:rsid w:val="00B033D6"/>
    <w:rsid w:val="00B11A55"/>
    <w:rsid w:val="00B17211"/>
    <w:rsid w:val="00B461B2"/>
    <w:rsid w:val="00B654B6"/>
    <w:rsid w:val="00B71B3C"/>
    <w:rsid w:val="00B90E88"/>
    <w:rsid w:val="00BB13B3"/>
    <w:rsid w:val="00BC389E"/>
    <w:rsid w:val="00BE1888"/>
    <w:rsid w:val="00BE4F44"/>
    <w:rsid w:val="00BF6B81"/>
    <w:rsid w:val="00C049D1"/>
    <w:rsid w:val="00C077A8"/>
    <w:rsid w:val="00C14FF4"/>
    <w:rsid w:val="00C1679F"/>
    <w:rsid w:val="00C606A2"/>
    <w:rsid w:val="00C63872"/>
    <w:rsid w:val="00C84948"/>
    <w:rsid w:val="00C94ED8"/>
    <w:rsid w:val="00CE7E8A"/>
    <w:rsid w:val="00CF1111"/>
    <w:rsid w:val="00CF5BC8"/>
    <w:rsid w:val="00D002BC"/>
    <w:rsid w:val="00D05706"/>
    <w:rsid w:val="00D247C4"/>
    <w:rsid w:val="00D27DC5"/>
    <w:rsid w:val="00D47E36"/>
    <w:rsid w:val="00DA1167"/>
    <w:rsid w:val="00DC61C7"/>
    <w:rsid w:val="00DF3689"/>
    <w:rsid w:val="00DF57DA"/>
    <w:rsid w:val="00E25AB4"/>
    <w:rsid w:val="00E47C3B"/>
    <w:rsid w:val="00E55D79"/>
    <w:rsid w:val="00EA73FF"/>
    <w:rsid w:val="00EE2373"/>
    <w:rsid w:val="00EF030C"/>
    <w:rsid w:val="00EF0FBB"/>
    <w:rsid w:val="00EF4761"/>
    <w:rsid w:val="00F3698B"/>
    <w:rsid w:val="00F82043"/>
    <w:rsid w:val="00F8713D"/>
    <w:rsid w:val="00FA59D8"/>
    <w:rsid w:val="00FC2DA7"/>
    <w:rsid w:val="00FC3266"/>
    <w:rsid w:val="00FC5532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,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,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CF5B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03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436</Words>
  <Characters>2489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2025-07-17T10:19:00Z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