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3206BAC" w:rsidR="00B17211" w:rsidRPr="00B17211" w:rsidRDefault="00B17211" w:rsidP="007F490F">
            <w:r w:rsidRPr="007F490F">
              <w:rPr>
                <w:rStyle w:val="Heading2Char"/>
              </w:rPr>
              <w:t>Our reference:</w:t>
            </w:r>
            <w:r>
              <w:t xml:space="preserve">  FOI 2</w:t>
            </w:r>
            <w:r w:rsidR="00EF0FBB">
              <w:t>5</w:t>
            </w:r>
            <w:r>
              <w:t>-</w:t>
            </w:r>
            <w:r w:rsidR="003621C8">
              <w:t>0579</w:t>
            </w:r>
          </w:p>
          <w:p w14:paraId="34BDABA6" w14:textId="113C33C4" w:rsidR="00B17211" w:rsidRDefault="00456324" w:rsidP="00EE2373">
            <w:r w:rsidRPr="007F490F">
              <w:rPr>
                <w:rStyle w:val="Heading2Char"/>
              </w:rPr>
              <w:t>Respon</w:t>
            </w:r>
            <w:r w:rsidR="007D55F6">
              <w:rPr>
                <w:rStyle w:val="Heading2Char"/>
              </w:rPr>
              <w:t>ded to:</w:t>
            </w:r>
            <w:r w:rsidR="007F490F">
              <w:t xml:space="preserve">  </w:t>
            </w:r>
            <w:r w:rsidR="009662B9">
              <w:t>10</w:t>
            </w:r>
            <w:r w:rsidR="006D5799">
              <w:t xml:space="preserve"> </w:t>
            </w:r>
            <w:r w:rsidR="003621C8">
              <w:t xml:space="preserve">April </w:t>
            </w:r>
            <w:r>
              <w:t>202</w:t>
            </w:r>
            <w:r w:rsidR="00EF0FBB">
              <w:t>5</w:t>
            </w:r>
          </w:p>
        </w:tc>
      </w:tr>
    </w:tbl>
    <w:p w14:paraId="4B88C625" w14:textId="11D967AB" w:rsidR="003621C8" w:rsidRPr="003621C8" w:rsidRDefault="00793DD5" w:rsidP="003621C8">
      <w:pPr>
        <w:rPr>
          <w:b/>
        </w:rPr>
      </w:pPr>
      <w:r w:rsidRPr="00793DD5">
        <w:t xml:space="preserve">Your recent request for information is replicated below, together with </w:t>
      </w:r>
      <w:r w:rsidR="004341F0">
        <w:t>our</w:t>
      </w:r>
      <w:r w:rsidRPr="00793DD5">
        <w:t xml:space="preserve"> response.</w:t>
      </w:r>
    </w:p>
    <w:p w14:paraId="5926541A" w14:textId="550AC7E5" w:rsidR="003621C8" w:rsidRDefault="003621C8" w:rsidP="003621C8">
      <w:pPr>
        <w:pStyle w:val="Heading2"/>
        <w:numPr>
          <w:ilvl w:val="0"/>
          <w:numId w:val="3"/>
        </w:numPr>
      </w:pPr>
      <w:r w:rsidRPr="003621C8">
        <w:t xml:space="preserve">In each year since 2007, how many police stations have closed in Scotland. </w:t>
      </w:r>
    </w:p>
    <w:p w14:paraId="1017993C" w14:textId="7A376818" w:rsidR="00DA2390" w:rsidRDefault="00DA2390" w:rsidP="00DA2390">
      <w:r>
        <w:t>There is no requirement to record when a police station is closed,</w:t>
      </w:r>
      <w:r w:rsidR="00CC382B">
        <w:t xml:space="preserve"> and,</w:t>
      </w:r>
      <w:r>
        <w:t xml:space="preserve"> as such</w:t>
      </w:r>
      <w:r w:rsidR="00CC382B">
        <w:t>,</w:t>
      </w:r>
      <w:r>
        <w:t xml:space="preserve"> in terms of section 17</w:t>
      </w:r>
      <w:r w:rsidR="00CC382B">
        <w:t xml:space="preserve"> of the Act</w:t>
      </w:r>
      <w:r>
        <w:t xml:space="preserve">, the information requested is not held. </w:t>
      </w:r>
    </w:p>
    <w:p w14:paraId="76473F66" w14:textId="5CDB372E" w:rsidR="0050427D" w:rsidRDefault="00DA2390" w:rsidP="00DA2390">
      <w:r>
        <w:t xml:space="preserve">To be of assistance, </w:t>
      </w:r>
      <w:proofErr w:type="gramStart"/>
      <w:r w:rsidR="00CC382B">
        <w:t>The</w:t>
      </w:r>
      <w:proofErr w:type="gramEnd"/>
      <w:r w:rsidR="00CC382B">
        <w:t xml:space="preserve"> table below details </w:t>
      </w:r>
      <w:r w:rsidR="0050427D">
        <w:t xml:space="preserve">the number of stations sold since 2014, which is when Police Scotland was formed. </w:t>
      </w:r>
    </w:p>
    <w:p w14:paraId="4FD1AD05" w14:textId="77777777" w:rsidR="00CC382B" w:rsidRDefault="00CC382B" w:rsidP="00DA2390">
      <w:r>
        <w:t>P</w:t>
      </w:r>
      <w:r w:rsidR="0050427D">
        <w:t>lease note</w:t>
      </w:r>
      <w:r>
        <w:t xml:space="preserve"> that</w:t>
      </w:r>
      <w:r w:rsidR="0050427D">
        <w:t xml:space="preserve"> </w:t>
      </w:r>
      <w:r w:rsidR="00DA2390" w:rsidRPr="00DA2390">
        <w:t>Scotland’s policing estate has been built up over the course of several decades</w:t>
      </w:r>
      <w:r>
        <w:t>,</w:t>
      </w:r>
      <w:r w:rsidR="00DA2390" w:rsidRPr="00DA2390">
        <w:t xml:space="preserve"> and some buildings are no longer in the right place or operationally fit for purpose. </w:t>
      </w:r>
    </w:p>
    <w:p w14:paraId="4A5ED874" w14:textId="77777777" w:rsidR="00CC382B" w:rsidRDefault="00DA2390" w:rsidP="00DA2390">
      <w:r w:rsidRPr="00DA2390">
        <w:t>Many police station sales were as a result of properties declared surplus by Legacy Forces</w:t>
      </w:r>
      <w:r w:rsidR="00CC382B">
        <w:t>,</w:t>
      </w:r>
      <w:r w:rsidRPr="00DA2390">
        <w:t xml:space="preserve"> although the sales occurred post-formation of Police Scotland. </w:t>
      </w:r>
    </w:p>
    <w:p w14:paraId="024D07F7" w14:textId="77777777" w:rsidR="00CC382B" w:rsidRDefault="00DA2390" w:rsidP="00DA2390">
      <w:r w:rsidRPr="00DA2390">
        <w:t xml:space="preserve">The majority of these decisions, which took place prior to the formation of Police Scotland, were taken after lengthy and detailed consultation with our partners and local communities and this process remains the same today. </w:t>
      </w:r>
    </w:p>
    <w:p w14:paraId="51DEA4A7" w14:textId="431BFB1E" w:rsidR="00DA2390" w:rsidRDefault="00DA2390" w:rsidP="00DA2390">
      <w:r w:rsidRPr="00DA2390">
        <w:t>In the vast majority of cases, police stations which were closed were moved to new</w:t>
      </w:r>
      <w:r w:rsidR="00CC382B">
        <w:t>,</w:t>
      </w:r>
      <w:r w:rsidRPr="00DA2390">
        <w:t xml:space="preserve"> modern co-located accommodation within the same towns</w:t>
      </w:r>
      <w:r w:rsidR="00CC382B">
        <w:t>,</w:t>
      </w:r>
      <w:r w:rsidRPr="00DA2390">
        <w:t xml:space="preserve"> or officers were moved to new police stations nearby.</w:t>
      </w:r>
    </w:p>
    <w:tbl>
      <w:tblPr>
        <w:tblStyle w:val="TableGrid"/>
        <w:tblW w:w="0" w:type="auto"/>
        <w:tblLook w:val="04A0" w:firstRow="1" w:lastRow="0" w:firstColumn="1" w:lastColumn="0" w:noHBand="0" w:noVBand="1"/>
        <w:tblCaption w:val="Number of police stations sold, broken by year."/>
        <w:tblDescription w:val="Number of police stations sold, broken by year."/>
      </w:tblPr>
      <w:tblGrid>
        <w:gridCol w:w="2263"/>
        <w:gridCol w:w="3857"/>
      </w:tblGrid>
      <w:tr w:rsidR="0050427D" w:rsidRPr="00CC382B" w14:paraId="48B7C61B" w14:textId="77777777" w:rsidTr="00CC382B">
        <w:trPr>
          <w:tblHeader/>
        </w:trPr>
        <w:tc>
          <w:tcPr>
            <w:tcW w:w="2263" w:type="dxa"/>
            <w:shd w:val="clear" w:color="auto" w:fill="D9D9D9" w:themeFill="background1" w:themeFillShade="D9"/>
          </w:tcPr>
          <w:p w14:paraId="5E16F967" w14:textId="2E965977" w:rsidR="0050427D" w:rsidRPr="00CC382B" w:rsidRDefault="0050427D" w:rsidP="00CC382B">
            <w:pPr>
              <w:spacing w:line="240" w:lineRule="auto"/>
              <w:rPr>
                <w:b/>
                <w:bCs/>
              </w:rPr>
            </w:pPr>
            <w:r w:rsidRPr="00CC382B">
              <w:rPr>
                <w:b/>
                <w:bCs/>
              </w:rPr>
              <w:t>Year</w:t>
            </w:r>
          </w:p>
        </w:tc>
        <w:tc>
          <w:tcPr>
            <w:tcW w:w="3857" w:type="dxa"/>
            <w:shd w:val="clear" w:color="auto" w:fill="D9D9D9" w:themeFill="background1" w:themeFillShade="D9"/>
          </w:tcPr>
          <w:p w14:paraId="326ADD47" w14:textId="21175B5E" w:rsidR="0050427D" w:rsidRPr="00CC382B" w:rsidRDefault="0050427D" w:rsidP="00CC382B">
            <w:pPr>
              <w:spacing w:line="240" w:lineRule="auto"/>
              <w:rPr>
                <w:b/>
                <w:bCs/>
              </w:rPr>
            </w:pPr>
            <w:r w:rsidRPr="00CC382B">
              <w:rPr>
                <w:b/>
                <w:bCs/>
              </w:rPr>
              <w:t>Number of police stations sold</w:t>
            </w:r>
          </w:p>
        </w:tc>
      </w:tr>
      <w:tr w:rsidR="0050427D" w14:paraId="0D627B59" w14:textId="77777777" w:rsidTr="00CC382B">
        <w:tc>
          <w:tcPr>
            <w:tcW w:w="2263" w:type="dxa"/>
          </w:tcPr>
          <w:p w14:paraId="4D37E76E" w14:textId="1CD59617" w:rsidR="0050427D" w:rsidRDefault="0050427D" w:rsidP="00CC382B">
            <w:pPr>
              <w:spacing w:line="240" w:lineRule="auto"/>
            </w:pPr>
            <w:r>
              <w:t>2014</w:t>
            </w:r>
          </w:p>
        </w:tc>
        <w:tc>
          <w:tcPr>
            <w:tcW w:w="3857" w:type="dxa"/>
          </w:tcPr>
          <w:p w14:paraId="74B636D5" w14:textId="48EBBBF5" w:rsidR="0050427D" w:rsidRDefault="0050427D" w:rsidP="00CC382B">
            <w:pPr>
              <w:spacing w:line="240" w:lineRule="auto"/>
            </w:pPr>
            <w:r>
              <w:t>5</w:t>
            </w:r>
          </w:p>
        </w:tc>
      </w:tr>
      <w:tr w:rsidR="0050427D" w14:paraId="720836DF" w14:textId="77777777" w:rsidTr="00CC382B">
        <w:tc>
          <w:tcPr>
            <w:tcW w:w="2263" w:type="dxa"/>
          </w:tcPr>
          <w:p w14:paraId="1622C373" w14:textId="2B0EA769" w:rsidR="0050427D" w:rsidRDefault="0050427D" w:rsidP="00CC382B">
            <w:pPr>
              <w:spacing w:line="240" w:lineRule="auto"/>
            </w:pPr>
            <w:r>
              <w:t>2015</w:t>
            </w:r>
          </w:p>
        </w:tc>
        <w:tc>
          <w:tcPr>
            <w:tcW w:w="3857" w:type="dxa"/>
          </w:tcPr>
          <w:p w14:paraId="4EB0DC82" w14:textId="0E3A8A2A" w:rsidR="0050427D" w:rsidRDefault="0050427D" w:rsidP="00CC382B">
            <w:pPr>
              <w:spacing w:line="240" w:lineRule="auto"/>
            </w:pPr>
            <w:r>
              <w:t>11</w:t>
            </w:r>
          </w:p>
        </w:tc>
      </w:tr>
      <w:tr w:rsidR="0050427D" w14:paraId="2FA9ED19" w14:textId="77777777" w:rsidTr="00CC382B">
        <w:tc>
          <w:tcPr>
            <w:tcW w:w="2263" w:type="dxa"/>
          </w:tcPr>
          <w:p w14:paraId="402E0C70" w14:textId="4D2CB01F" w:rsidR="0050427D" w:rsidRDefault="0050427D" w:rsidP="00CC382B">
            <w:pPr>
              <w:spacing w:line="240" w:lineRule="auto"/>
            </w:pPr>
            <w:r>
              <w:t>2016</w:t>
            </w:r>
          </w:p>
        </w:tc>
        <w:tc>
          <w:tcPr>
            <w:tcW w:w="3857" w:type="dxa"/>
          </w:tcPr>
          <w:p w14:paraId="419FEF3E" w14:textId="1AB2F3F5" w:rsidR="0050427D" w:rsidRDefault="0050427D" w:rsidP="00CC382B">
            <w:pPr>
              <w:spacing w:line="240" w:lineRule="auto"/>
            </w:pPr>
            <w:r>
              <w:t>10</w:t>
            </w:r>
          </w:p>
        </w:tc>
      </w:tr>
      <w:tr w:rsidR="0050427D" w14:paraId="078FCCA4" w14:textId="77777777" w:rsidTr="00CC382B">
        <w:tc>
          <w:tcPr>
            <w:tcW w:w="2263" w:type="dxa"/>
          </w:tcPr>
          <w:p w14:paraId="24F9AE2D" w14:textId="303A2F04" w:rsidR="0050427D" w:rsidRDefault="0050427D" w:rsidP="00CC382B">
            <w:pPr>
              <w:spacing w:line="240" w:lineRule="auto"/>
            </w:pPr>
            <w:r>
              <w:t>2017</w:t>
            </w:r>
          </w:p>
        </w:tc>
        <w:tc>
          <w:tcPr>
            <w:tcW w:w="3857" w:type="dxa"/>
          </w:tcPr>
          <w:p w14:paraId="199BC2E0" w14:textId="34267CCE" w:rsidR="0050427D" w:rsidRDefault="0050427D" w:rsidP="00CC382B">
            <w:pPr>
              <w:spacing w:line="240" w:lineRule="auto"/>
            </w:pPr>
            <w:r>
              <w:t>14</w:t>
            </w:r>
          </w:p>
        </w:tc>
      </w:tr>
      <w:tr w:rsidR="0050427D" w14:paraId="2D9DEB2B" w14:textId="77777777" w:rsidTr="00CC382B">
        <w:tc>
          <w:tcPr>
            <w:tcW w:w="2263" w:type="dxa"/>
          </w:tcPr>
          <w:p w14:paraId="32AA6B13" w14:textId="281E356D" w:rsidR="0050427D" w:rsidRDefault="0050427D" w:rsidP="00CC382B">
            <w:pPr>
              <w:spacing w:line="240" w:lineRule="auto"/>
            </w:pPr>
            <w:r>
              <w:t>2018</w:t>
            </w:r>
          </w:p>
        </w:tc>
        <w:tc>
          <w:tcPr>
            <w:tcW w:w="3857" w:type="dxa"/>
          </w:tcPr>
          <w:p w14:paraId="4EDA73EB" w14:textId="52BAE4F5" w:rsidR="0050427D" w:rsidRDefault="0050427D" w:rsidP="00CC382B">
            <w:pPr>
              <w:spacing w:line="240" w:lineRule="auto"/>
            </w:pPr>
            <w:r>
              <w:t>11</w:t>
            </w:r>
          </w:p>
        </w:tc>
      </w:tr>
      <w:tr w:rsidR="0050427D" w14:paraId="63DA9F0D" w14:textId="77777777" w:rsidTr="00CC382B">
        <w:tc>
          <w:tcPr>
            <w:tcW w:w="2263" w:type="dxa"/>
          </w:tcPr>
          <w:p w14:paraId="2869E69E" w14:textId="0AC4A0F0" w:rsidR="0050427D" w:rsidRDefault="0050427D" w:rsidP="00CC382B">
            <w:pPr>
              <w:spacing w:line="240" w:lineRule="auto"/>
            </w:pPr>
            <w:r>
              <w:lastRenderedPageBreak/>
              <w:t>2019</w:t>
            </w:r>
          </w:p>
        </w:tc>
        <w:tc>
          <w:tcPr>
            <w:tcW w:w="3857" w:type="dxa"/>
          </w:tcPr>
          <w:p w14:paraId="01C0FDF0" w14:textId="61F30BE6" w:rsidR="0050427D" w:rsidRDefault="0050427D" w:rsidP="00CC382B">
            <w:pPr>
              <w:spacing w:line="240" w:lineRule="auto"/>
            </w:pPr>
            <w:r>
              <w:t>26</w:t>
            </w:r>
          </w:p>
        </w:tc>
      </w:tr>
      <w:tr w:rsidR="0050427D" w14:paraId="4BEF696A" w14:textId="77777777" w:rsidTr="00CC382B">
        <w:tc>
          <w:tcPr>
            <w:tcW w:w="2263" w:type="dxa"/>
          </w:tcPr>
          <w:p w14:paraId="32AF050A" w14:textId="1EBE2489" w:rsidR="0050427D" w:rsidRDefault="0050427D" w:rsidP="00CC382B">
            <w:pPr>
              <w:spacing w:line="240" w:lineRule="auto"/>
            </w:pPr>
            <w:r>
              <w:t>2020</w:t>
            </w:r>
          </w:p>
        </w:tc>
        <w:tc>
          <w:tcPr>
            <w:tcW w:w="3857" w:type="dxa"/>
          </w:tcPr>
          <w:p w14:paraId="7F611F01" w14:textId="441C6107" w:rsidR="0050427D" w:rsidRDefault="0050427D" w:rsidP="00CC382B">
            <w:pPr>
              <w:spacing w:line="240" w:lineRule="auto"/>
            </w:pPr>
            <w:r>
              <w:t>6</w:t>
            </w:r>
          </w:p>
        </w:tc>
      </w:tr>
      <w:tr w:rsidR="0050427D" w14:paraId="02EC5DAC" w14:textId="77777777" w:rsidTr="00CC382B">
        <w:tc>
          <w:tcPr>
            <w:tcW w:w="2263" w:type="dxa"/>
          </w:tcPr>
          <w:p w14:paraId="12845CEC" w14:textId="68B471DB" w:rsidR="0050427D" w:rsidRDefault="0050427D" w:rsidP="00CC382B">
            <w:pPr>
              <w:spacing w:line="240" w:lineRule="auto"/>
            </w:pPr>
            <w:r>
              <w:t>2021</w:t>
            </w:r>
          </w:p>
        </w:tc>
        <w:tc>
          <w:tcPr>
            <w:tcW w:w="3857" w:type="dxa"/>
          </w:tcPr>
          <w:p w14:paraId="7AED769D" w14:textId="0FC327A8" w:rsidR="0050427D" w:rsidRDefault="0050427D" w:rsidP="00CC382B">
            <w:pPr>
              <w:spacing w:line="240" w:lineRule="auto"/>
            </w:pPr>
            <w:r>
              <w:t>6</w:t>
            </w:r>
          </w:p>
        </w:tc>
      </w:tr>
      <w:tr w:rsidR="0050427D" w14:paraId="4634F838" w14:textId="77777777" w:rsidTr="00CC382B">
        <w:tc>
          <w:tcPr>
            <w:tcW w:w="2263" w:type="dxa"/>
          </w:tcPr>
          <w:p w14:paraId="4A00CA71" w14:textId="56BE3A00" w:rsidR="0050427D" w:rsidRDefault="0050427D" w:rsidP="00CC382B">
            <w:pPr>
              <w:spacing w:line="240" w:lineRule="auto"/>
            </w:pPr>
            <w:r>
              <w:t>2022</w:t>
            </w:r>
          </w:p>
        </w:tc>
        <w:tc>
          <w:tcPr>
            <w:tcW w:w="3857" w:type="dxa"/>
          </w:tcPr>
          <w:p w14:paraId="1B632952" w14:textId="4CD510E7" w:rsidR="0050427D" w:rsidRDefault="0050427D" w:rsidP="00CC382B">
            <w:pPr>
              <w:spacing w:line="240" w:lineRule="auto"/>
            </w:pPr>
            <w:r>
              <w:t>9</w:t>
            </w:r>
          </w:p>
        </w:tc>
      </w:tr>
      <w:tr w:rsidR="0050427D" w14:paraId="7A4AC579" w14:textId="77777777" w:rsidTr="00CC382B">
        <w:tc>
          <w:tcPr>
            <w:tcW w:w="2263" w:type="dxa"/>
          </w:tcPr>
          <w:p w14:paraId="7A5E927C" w14:textId="37F51F14" w:rsidR="0050427D" w:rsidRDefault="0050427D" w:rsidP="00CC382B">
            <w:pPr>
              <w:spacing w:line="240" w:lineRule="auto"/>
            </w:pPr>
            <w:r>
              <w:t>2023</w:t>
            </w:r>
          </w:p>
        </w:tc>
        <w:tc>
          <w:tcPr>
            <w:tcW w:w="3857" w:type="dxa"/>
          </w:tcPr>
          <w:p w14:paraId="1926A313" w14:textId="24F64297" w:rsidR="0050427D" w:rsidRDefault="0050427D" w:rsidP="00CC382B">
            <w:pPr>
              <w:spacing w:line="240" w:lineRule="auto"/>
            </w:pPr>
            <w:r>
              <w:t>4</w:t>
            </w:r>
          </w:p>
        </w:tc>
      </w:tr>
      <w:tr w:rsidR="0050427D" w14:paraId="0AA7E3EC" w14:textId="77777777" w:rsidTr="00CC382B">
        <w:tc>
          <w:tcPr>
            <w:tcW w:w="2263" w:type="dxa"/>
          </w:tcPr>
          <w:p w14:paraId="6A3F1B18" w14:textId="6EC753A9" w:rsidR="0050427D" w:rsidRDefault="0050427D" w:rsidP="00CC382B">
            <w:pPr>
              <w:spacing w:line="240" w:lineRule="auto"/>
            </w:pPr>
            <w:r>
              <w:t>2024</w:t>
            </w:r>
          </w:p>
        </w:tc>
        <w:tc>
          <w:tcPr>
            <w:tcW w:w="3857" w:type="dxa"/>
          </w:tcPr>
          <w:p w14:paraId="11FF4FDF" w14:textId="16655813" w:rsidR="0050427D" w:rsidRDefault="0050427D" w:rsidP="00CC382B">
            <w:pPr>
              <w:spacing w:line="240" w:lineRule="auto"/>
            </w:pPr>
            <w:r>
              <w:t>7</w:t>
            </w:r>
          </w:p>
        </w:tc>
      </w:tr>
      <w:tr w:rsidR="0050427D" w14:paraId="2ACAFCB7" w14:textId="77777777" w:rsidTr="00CC382B">
        <w:tc>
          <w:tcPr>
            <w:tcW w:w="2263" w:type="dxa"/>
          </w:tcPr>
          <w:p w14:paraId="587A0CEC" w14:textId="015E4176" w:rsidR="0050427D" w:rsidRDefault="0050427D" w:rsidP="00CC382B">
            <w:pPr>
              <w:spacing w:line="240" w:lineRule="auto"/>
            </w:pPr>
            <w:r>
              <w:t>2025 to date</w:t>
            </w:r>
          </w:p>
        </w:tc>
        <w:tc>
          <w:tcPr>
            <w:tcW w:w="3857" w:type="dxa"/>
          </w:tcPr>
          <w:p w14:paraId="5D4E9585" w14:textId="48F093BD" w:rsidR="0050427D" w:rsidRDefault="0050427D" w:rsidP="00CC382B">
            <w:pPr>
              <w:spacing w:line="240" w:lineRule="auto"/>
            </w:pPr>
            <w:r>
              <w:t>3</w:t>
            </w:r>
          </w:p>
        </w:tc>
      </w:tr>
    </w:tbl>
    <w:p w14:paraId="1F28376A" w14:textId="77777777" w:rsidR="0050427D" w:rsidRPr="00DA2390" w:rsidRDefault="0050427D" w:rsidP="00DA2390"/>
    <w:p w14:paraId="6826A533" w14:textId="0D2B4B3C" w:rsidR="003621C8" w:rsidRPr="003621C8" w:rsidRDefault="003621C8" w:rsidP="003621C8">
      <w:pPr>
        <w:pStyle w:val="Heading2"/>
        <w:numPr>
          <w:ilvl w:val="0"/>
          <w:numId w:val="3"/>
        </w:numPr>
      </w:pPr>
      <w:r w:rsidRPr="003621C8">
        <w:t xml:space="preserve">In each year since 2007, how many police stations have been mothballed in Scotland. </w:t>
      </w:r>
    </w:p>
    <w:p w14:paraId="7AC29546" w14:textId="77777777" w:rsidR="00FC2481" w:rsidRDefault="00FC2481" w:rsidP="00FC2481">
      <w:pPr>
        <w:tabs>
          <w:tab w:val="left" w:pos="5400"/>
        </w:tabs>
      </w:pPr>
      <w:r>
        <w:t>The information sought is held by Police Scotland, but I am refusing to provide it in terms of s</w:t>
      </w:r>
      <w:r w:rsidRPr="00453F0A">
        <w:t>ection 16</w:t>
      </w:r>
      <w:r>
        <w:t xml:space="preserve">(1) of the Act on the basis that the following exemptions apply: </w:t>
      </w:r>
    </w:p>
    <w:p w14:paraId="7CA3A44A" w14:textId="43BDB4EB" w:rsidR="00FC2481" w:rsidRPr="00FC2481" w:rsidRDefault="00FC2481" w:rsidP="00FC2481">
      <w:pPr>
        <w:tabs>
          <w:tab w:val="left" w:pos="5400"/>
        </w:tabs>
        <w:rPr>
          <w:b/>
          <w:bCs/>
        </w:rPr>
      </w:pPr>
      <w:r w:rsidRPr="00FC2481">
        <w:rPr>
          <w:b/>
          <w:bCs/>
        </w:rPr>
        <w:t>Section 35(a) and (b) Law Enforcement</w:t>
      </w:r>
    </w:p>
    <w:p w14:paraId="233AF289" w14:textId="3EEC0380" w:rsidR="00FC2481" w:rsidRPr="0030559E" w:rsidRDefault="00FC2481" w:rsidP="00FC2481">
      <w:bookmarkStart w:id="0" w:name="_Hlk194929228"/>
      <w:r w:rsidRPr="0030559E">
        <w:t>Information is exempt information if its disclosure under this Act would</w:t>
      </w:r>
      <w:r>
        <w:t xml:space="preserve"> </w:t>
      </w:r>
      <w:r w:rsidRPr="0030559E">
        <w:t>or would be likely to prejudice substantially the prevention or detection of crime</w:t>
      </w:r>
      <w:r>
        <w:t>.</w:t>
      </w:r>
      <w:r w:rsidRPr="0030559E">
        <w:t xml:space="preserve"> </w:t>
      </w:r>
    </w:p>
    <w:p w14:paraId="6F0C2057" w14:textId="3F41AE9B" w:rsidR="00CC382B" w:rsidRDefault="00FC2481" w:rsidP="00CC382B">
      <w:r>
        <w:t xml:space="preserve">To publicly identify mothballed sites, would put the security of those sites at risk. The identified sites may be at risk from those with criminal intent, </w:t>
      </w:r>
      <w:r w:rsidR="00F27367">
        <w:t xml:space="preserve">who wish </w:t>
      </w:r>
      <w:r>
        <w:t xml:space="preserve">cause damage to the sites </w:t>
      </w:r>
      <w:r w:rsidR="00F27367">
        <w:t xml:space="preserve">specifically </w:t>
      </w:r>
      <w:r>
        <w:t xml:space="preserve">or to </w:t>
      </w:r>
      <w:r w:rsidR="00F27367">
        <w:t xml:space="preserve">manipulate critical infrastructure, this would provide a </w:t>
      </w:r>
      <w:r w:rsidR="00F27367" w:rsidRPr="0030559E">
        <w:t xml:space="preserve">tactical advantage when planning or perpetrating </w:t>
      </w:r>
      <w:r w:rsidR="00F27367">
        <w:t xml:space="preserve">any </w:t>
      </w:r>
      <w:r w:rsidR="00F27367" w:rsidRPr="0030559E">
        <w:t>unlawful activities and maximise the impact of destruction, harm an</w:t>
      </w:r>
      <w:r w:rsidR="00F27367">
        <w:t xml:space="preserve">d disruption that may be caused, whilst avoiding being brought to justice. </w:t>
      </w:r>
      <w:bookmarkEnd w:id="0"/>
    </w:p>
    <w:p w14:paraId="75E9C5F1" w14:textId="50E4A7F4" w:rsidR="00543EE7" w:rsidRDefault="00543EE7" w:rsidP="00543EE7">
      <w:pPr>
        <w:pStyle w:val="Heading2"/>
      </w:pPr>
      <w:r>
        <w:t>Section 3</w:t>
      </w:r>
      <w:r w:rsidR="00CC382B">
        <w:t>9</w:t>
      </w:r>
      <w:r>
        <w:t>(1) Health, Safety and the Environment</w:t>
      </w:r>
    </w:p>
    <w:p w14:paraId="34BDABB8" w14:textId="65246183" w:rsidR="00255F1E" w:rsidRDefault="00543EE7" w:rsidP="00FC2481">
      <w:bookmarkStart w:id="1" w:name="_Hlk194929453"/>
      <w:r>
        <w:t xml:space="preserve">As noted above, disclosing information relating to mothballed sites, has to the potential to harm critical infrastructure. Any harm caused may affect the ability of the Police Scotland to react to any ongoing situation, </w:t>
      </w:r>
      <w:r w:rsidRPr="0030559E">
        <w:t xml:space="preserve">the main purpose of the </w:t>
      </w:r>
      <w:r>
        <w:t xml:space="preserve">organisation </w:t>
      </w:r>
      <w:r w:rsidRPr="0030559E">
        <w:t xml:space="preserve">is to </w:t>
      </w:r>
      <w:r>
        <w:t xml:space="preserve">protect individuals and members of the public, to disclose the requested information </w:t>
      </w:r>
      <w:r w:rsidRPr="0030559E">
        <w:t xml:space="preserve">would be contrary to that purpose. </w:t>
      </w:r>
      <w:bookmarkEnd w:id="1"/>
    </w:p>
    <w:p w14:paraId="027232AC" w14:textId="00A33F3D" w:rsidR="00543EE7" w:rsidRDefault="00543EE7" w:rsidP="00543EE7">
      <w:pPr>
        <w:pStyle w:val="Heading2"/>
      </w:pPr>
      <w:r>
        <w:lastRenderedPageBreak/>
        <w:t>Public Interest Test</w:t>
      </w:r>
    </w:p>
    <w:p w14:paraId="0B93FECE" w14:textId="500D3FB4" w:rsidR="00543EE7" w:rsidRPr="0030559E" w:rsidRDefault="00543EE7" w:rsidP="002241D5">
      <w:r w:rsidRPr="0030559E">
        <w:t>I</w:t>
      </w:r>
      <w:r w:rsidR="002241D5">
        <w:t xml:space="preserve"> believe that </w:t>
      </w:r>
      <w:r w:rsidRPr="0030559E">
        <w:t xml:space="preserve">public accountability may favour disclosure, given that the information concerns the efficient and effective use of resources by </w:t>
      </w:r>
      <w:r>
        <w:t>the organisation</w:t>
      </w:r>
      <w:r w:rsidRPr="0030559E">
        <w:t xml:space="preserve">. </w:t>
      </w:r>
      <w:r w:rsidR="002241D5">
        <w:t xml:space="preserve">Additionally, </w:t>
      </w:r>
      <w:r w:rsidRPr="0030559E">
        <w:t xml:space="preserve">disclosure of the information would also inform the public debate on the issue of policing and contribute to the accuracy of that debate. </w:t>
      </w:r>
    </w:p>
    <w:p w14:paraId="47A2EB7E" w14:textId="77777777" w:rsidR="00543EE7" w:rsidRPr="0030559E" w:rsidRDefault="00543EE7" w:rsidP="002241D5">
      <w:r w:rsidRPr="0030559E">
        <w:t xml:space="preserve">However, any disclosure under FOI legislation is a disclosure to the world at large and any information identifying the focus of policing activity could be used to the advantage of criminals. </w:t>
      </w:r>
    </w:p>
    <w:p w14:paraId="087D57B3" w14:textId="2751C72A" w:rsidR="00543EE7" w:rsidRPr="0030559E" w:rsidRDefault="00543EE7" w:rsidP="002241D5">
      <w:r w:rsidRPr="0030559E">
        <w:t xml:space="preserve">Consequently, in terms of the applicability of the exemptions listed above, the need to ensure the effective conduct of the service in relation to prevention and detection of crime and the public safety considerations involved in the delivery of policing clearly favour non-disclosure of the information requested. </w:t>
      </w:r>
    </w:p>
    <w:p w14:paraId="30CB4FC0" w14:textId="77777777" w:rsidR="00543EE7" w:rsidRPr="0030559E" w:rsidRDefault="00543EE7" w:rsidP="002241D5">
      <w:r w:rsidRPr="0030559E">
        <w:t xml:space="preserve">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14:paraId="6D561A40" w14:textId="4DA1E47F" w:rsidR="00CC382B" w:rsidRPr="00B11A55" w:rsidRDefault="00543EE7" w:rsidP="002241D5">
      <w:r w:rsidRPr="0030559E">
        <w:t>I must advise you that it is doubtful it could ever be in the public interest to disclose information which would jeopardise the delivery of policing and the safety of individuals</w:t>
      </w:r>
      <w:r w:rsidR="002241D5">
        <w:t xml:space="preserve"> or </w:t>
      </w:r>
      <w:r w:rsidRPr="0030559E">
        <w:t>prejudice the prevention or detection of crime.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32CA4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38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5FB57E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38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0D9BF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382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10BFE4D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382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11B4C5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382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25A7BA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382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14BCB"/>
    <w:multiLevelType w:val="hybridMultilevel"/>
    <w:tmpl w:val="5B2897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69E0320"/>
    <w:multiLevelType w:val="hybridMultilevel"/>
    <w:tmpl w:val="DC96E5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318849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5128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2C8B"/>
    <w:rsid w:val="00090F3B"/>
    <w:rsid w:val="000E2F19"/>
    <w:rsid w:val="000E6526"/>
    <w:rsid w:val="00141533"/>
    <w:rsid w:val="00167528"/>
    <w:rsid w:val="00195CC4"/>
    <w:rsid w:val="001D11AE"/>
    <w:rsid w:val="00207326"/>
    <w:rsid w:val="002241D5"/>
    <w:rsid w:val="00253DF6"/>
    <w:rsid w:val="00255F1E"/>
    <w:rsid w:val="00270475"/>
    <w:rsid w:val="003621C8"/>
    <w:rsid w:val="0036503B"/>
    <w:rsid w:val="00376A4A"/>
    <w:rsid w:val="003D6D03"/>
    <w:rsid w:val="003E12CA"/>
    <w:rsid w:val="004010DC"/>
    <w:rsid w:val="004341F0"/>
    <w:rsid w:val="00456324"/>
    <w:rsid w:val="00475460"/>
    <w:rsid w:val="00490317"/>
    <w:rsid w:val="00491644"/>
    <w:rsid w:val="00496A08"/>
    <w:rsid w:val="004E1605"/>
    <w:rsid w:val="004F653C"/>
    <w:rsid w:val="0050427D"/>
    <w:rsid w:val="00540A52"/>
    <w:rsid w:val="00543EE7"/>
    <w:rsid w:val="00557306"/>
    <w:rsid w:val="00645CFA"/>
    <w:rsid w:val="00685219"/>
    <w:rsid w:val="006D5799"/>
    <w:rsid w:val="007440EA"/>
    <w:rsid w:val="00750D83"/>
    <w:rsid w:val="00785DBC"/>
    <w:rsid w:val="00793DD5"/>
    <w:rsid w:val="007D55F6"/>
    <w:rsid w:val="007F490F"/>
    <w:rsid w:val="007F58AB"/>
    <w:rsid w:val="00833D93"/>
    <w:rsid w:val="0086779C"/>
    <w:rsid w:val="00874BFD"/>
    <w:rsid w:val="008964EF"/>
    <w:rsid w:val="00915E01"/>
    <w:rsid w:val="009631A4"/>
    <w:rsid w:val="009662B9"/>
    <w:rsid w:val="00977296"/>
    <w:rsid w:val="009D6632"/>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C382B"/>
    <w:rsid w:val="00CF1111"/>
    <w:rsid w:val="00D05706"/>
    <w:rsid w:val="00D27DC5"/>
    <w:rsid w:val="00D47E36"/>
    <w:rsid w:val="00DA2390"/>
    <w:rsid w:val="00E55D79"/>
    <w:rsid w:val="00EE2373"/>
    <w:rsid w:val="00EF0FBB"/>
    <w:rsid w:val="00EF4761"/>
    <w:rsid w:val="00F27367"/>
    <w:rsid w:val="00FC248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74160">
      <w:bodyDiv w:val="1"/>
      <w:marLeft w:val="0"/>
      <w:marRight w:val="0"/>
      <w:marTop w:val="0"/>
      <w:marBottom w:val="0"/>
      <w:divBdr>
        <w:top w:val="none" w:sz="0" w:space="0" w:color="auto"/>
        <w:left w:val="none" w:sz="0" w:space="0" w:color="auto"/>
        <w:bottom w:val="none" w:sz="0" w:space="0" w:color="auto"/>
        <w:right w:val="none" w:sz="0" w:space="0" w:color="auto"/>
      </w:divBdr>
    </w:div>
    <w:div w:id="200172988">
      <w:bodyDiv w:val="1"/>
      <w:marLeft w:val="0"/>
      <w:marRight w:val="0"/>
      <w:marTop w:val="0"/>
      <w:marBottom w:val="0"/>
      <w:divBdr>
        <w:top w:val="none" w:sz="0" w:space="0" w:color="auto"/>
        <w:left w:val="none" w:sz="0" w:space="0" w:color="auto"/>
        <w:bottom w:val="none" w:sz="0" w:space="0" w:color="auto"/>
        <w:right w:val="none" w:sz="0" w:space="0" w:color="auto"/>
      </w:divBdr>
    </w:div>
    <w:div w:id="987396128">
      <w:bodyDiv w:val="1"/>
      <w:marLeft w:val="0"/>
      <w:marRight w:val="0"/>
      <w:marTop w:val="0"/>
      <w:marBottom w:val="0"/>
      <w:divBdr>
        <w:top w:val="none" w:sz="0" w:space="0" w:color="auto"/>
        <w:left w:val="none" w:sz="0" w:space="0" w:color="auto"/>
        <w:bottom w:val="none" w:sz="0" w:space="0" w:color="auto"/>
        <w:right w:val="none" w:sz="0" w:space="0" w:color="auto"/>
      </w:divBdr>
    </w:div>
    <w:div w:id="110808840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www.w3.org/XML/1998/namespace"/>
    <ds:schemaRef ds:uri="http://purl.org/dc/dcmitype/"/>
    <ds:schemaRef ds:uri="0e32d40b-a8f5-4c24-a46b-b72b5f0b9b52"/>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2025-04-10T16:23:00Z</dcterms:created>
  <dcterms:modified xsi:type="dcterms:W3CDTF">2025-04-10T16:23:00Z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