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44D1CE" w:rsidR="00B17211" w:rsidRPr="00B17211" w:rsidRDefault="00B17211" w:rsidP="007F490F">
            <w:r w:rsidRPr="007F490F">
              <w:rPr>
                <w:rStyle w:val="Heading2Char"/>
              </w:rPr>
              <w:t>Our reference:</w:t>
            </w:r>
            <w:r>
              <w:t xml:space="preserve">  FOI 2</w:t>
            </w:r>
            <w:r w:rsidR="00B654B6">
              <w:t>4</w:t>
            </w:r>
            <w:r>
              <w:t>-</w:t>
            </w:r>
            <w:r w:rsidR="0022655F">
              <w:t>0950</w:t>
            </w:r>
          </w:p>
          <w:p w14:paraId="34BDABA6" w14:textId="5CC9F592" w:rsidR="00B17211" w:rsidRDefault="00456324" w:rsidP="00EE2373">
            <w:r w:rsidRPr="007F490F">
              <w:rPr>
                <w:rStyle w:val="Heading2Char"/>
              </w:rPr>
              <w:t>Respon</w:t>
            </w:r>
            <w:r w:rsidR="007D55F6">
              <w:rPr>
                <w:rStyle w:val="Heading2Char"/>
              </w:rPr>
              <w:t>ded to:</w:t>
            </w:r>
            <w:r w:rsidR="007F490F">
              <w:t xml:space="preserve">  </w:t>
            </w:r>
            <w:r w:rsidR="00E71879">
              <w:t>06</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BB5C59" w14:textId="1AEDB705"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Please can you tell me about the complaints you received when the Act came into force on 1st April.</w:t>
      </w:r>
    </w:p>
    <w:p w14:paraId="1CB213CC" w14:textId="104DFCF3"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Preferably for the first day (1st April) or otherwise for your most convenient accounting period:</w:t>
      </w:r>
    </w:p>
    <w:p w14:paraId="76AE3067" w14:textId="77777777"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In respect of each of the protected characteristics</w:t>
      </w:r>
    </w:p>
    <w:p w14:paraId="1383E192" w14:textId="534E301E" w:rsidR="0022655F" w:rsidRPr="00920EB9" w:rsidRDefault="0022655F" w:rsidP="00920EB9">
      <w:pPr>
        <w:pStyle w:val="ListParagraph"/>
        <w:numPr>
          <w:ilvl w:val="0"/>
          <w:numId w:val="2"/>
        </w:numPr>
        <w:rPr>
          <w:rFonts w:eastAsiaTheme="majorEastAsia" w:cstheme="majorBidi"/>
          <w:b/>
          <w:color w:val="000000" w:themeColor="text1"/>
          <w:szCs w:val="26"/>
        </w:rPr>
      </w:pPr>
      <w:r w:rsidRPr="00920EB9">
        <w:rPr>
          <w:rFonts w:eastAsiaTheme="majorEastAsia" w:cstheme="majorBidi"/>
          <w:b/>
          <w:color w:val="000000" w:themeColor="text1"/>
          <w:szCs w:val="26"/>
        </w:rPr>
        <w:t xml:space="preserve">How many complaints did you receive for aggravated crimes? </w:t>
      </w:r>
    </w:p>
    <w:p w14:paraId="47AFCC88" w14:textId="77777777" w:rsidR="00890637" w:rsidRDefault="00920EB9" w:rsidP="00920EB9">
      <w:r>
        <w:t>Police Scotland recorded 37 Hate Crimes on 1</w:t>
      </w:r>
      <w:r w:rsidRPr="00920EB9">
        <w:rPr>
          <w:vertAlign w:val="superscript"/>
        </w:rPr>
        <w:t>st</w:t>
      </w:r>
      <w:r>
        <w:t xml:space="preserve"> April 2024. </w:t>
      </w:r>
    </w:p>
    <w:p w14:paraId="11E8D6A8" w14:textId="2D094C7D" w:rsidR="00920EB9" w:rsidRDefault="00890637" w:rsidP="00920EB9">
      <w:r>
        <w:t>Table 1 is a breakdown of the Hate Crimes recorded.</w:t>
      </w:r>
    </w:p>
    <w:p w14:paraId="45D6B9B0" w14:textId="30B2B63A" w:rsidR="00920EB9" w:rsidRDefault="00920EB9" w:rsidP="00920EB9">
      <w:r w:rsidRPr="007404CF">
        <w:t>Please note the caveats at the bottom of the table</w:t>
      </w:r>
      <w:r>
        <w:t>.</w:t>
      </w:r>
    </w:p>
    <w:p w14:paraId="599E7272" w14:textId="77777777" w:rsidR="00920EB9" w:rsidRPr="007B0DFF" w:rsidRDefault="00920EB9" w:rsidP="00920EB9">
      <w:pPr>
        <w:rPr>
          <w:i/>
          <w:iCs/>
        </w:rPr>
      </w:pPr>
      <w:r w:rsidRPr="007B0DFF">
        <w:rPr>
          <w:i/>
          <w:iCs/>
        </w:rPr>
        <w:t>Table 1 – Recorded Hate Crimes – 1</w:t>
      </w:r>
      <w:r w:rsidRPr="007B0DFF">
        <w:rPr>
          <w:i/>
          <w:iCs/>
          <w:vertAlign w:val="superscript"/>
        </w:rPr>
        <w:t>st</w:t>
      </w:r>
      <w:r w:rsidRPr="007B0DFF">
        <w:rPr>
          <w:i/>
          <w:iCs/>
        </w:rPr>
        <w:t xml:space="preserve"> April 2024</w:t>
      </w:r>
    </w:p>
    <w:tbl>
      <w:tblPr>
        <w:tblStyle w:val="TableGrid"/>
        <w:tblW w:w="0" w:type="auto"/>
        <w:tblLook w:val="04A0" w:firstRow="1" w:lastRow="0" w:firstColumn="1" w:lastColumn="0" w:noHBand="0" w:noVBand="1"/>
        <w:tblCaption w:val="Table 1 – Recorded Hate Crimes – 1st April 2024"/>
        <w:tblDescription w:val="Table 1 – Recorded Hate Crimes – 1st April 2024"/>
      </w:tblPr>
      <w:tblGrid>
        <w:gridCol w:w="5665"/>
        <w:gridCol w:w="1985"/>
      </w:tblGrid>
      <w:tr w:rsidR="0038418B" w:rsidRPr="00E90585" w14:paraId="009840B2" w14:textId="77777777" w:rsidTr="0038418B">
        <w:tc>
          <w:tcPr>
            <w:tcW w:w="5665" w:type="dxa"/>
            <w:shd w:val="clear" w:color="auto" w:fill="D9D9D9" w:themeFill="background1" w:themeFillShade="D9"/>
          </w:tcPr>
          <w:p w14:paraId="1EEFEB13" w14:textId="76A6EF8C" w:rsidR="0038418B" w:rsidRPr="00E90585" w:rsidRDefault="0038418B" w:rsidP="008B1300">
            <w:pPr>
              <w:spacing w:line="276" w:lineRule="auto"/>
              <w:rPr>
                <w:b/>
                <w:bCs/>
              </w:rPr>
            </w:pPr>
            <w:r>
              <w:rPr>
                <w:b/>
                <w:bCs/>
              </w:rPr>
              <w:t>Recorded Hate Crimes</w:t>
            </w:r>
          </w:p>
        </w:tc>
        <w:tc>
          <w:tcPr>
            <w:tcW w:w="1985" w:type="dxa"/>
            <w:shd w:val="clear" w:color="auto" w:fill="D9D9D9" w:themeFill="background1" w:themeFillShade="D9"/>
          </w:tcPr>
          <w:p w14:paraId="7519F9FC" w14:textId="77777777" w:rsidR="0038418B" w:rsidRPr="00E90585" w:rsidRDefault="0038418B" w:rsidP="008B1300">
            <w:pPr>
              <w:spacing w:line="276" w:lineRule="auto"/>
              <w:rPr>
                <w:b/>
                <w:bCs/>
              </w:rPr>
            </w:pPr>
            <w:r>
              <w:rPr>
                <w:b/>
                <w:bCs/>
              </w:rPr>
              <w:t>Total</w:t>
            </w:r>
          </w:p>
        </w:tc>
      </w:tr>
      <w:tr w:rsidR="0038418B" w14:paraId="579C0246" w14:textId="77777777" w:rsidTr="0038418B">
        <w:tc>
          <w:tcPr>
            <w:tcW w:w="5665" w:type="dxa"/>
          </w:tcPr>
          <w:p w14:paraId="6BF6A1C9" w14:textId="58FC80CD" w:rsidR="0038418B" w:rsidRDefault="0038418B" w:rsidP="008B1300">
            <w:pPr>
              <w:spacing w:line="276" w:lineRule="auto"/>
            </w:pPr>
            <w:r>
              <w:t>Common Assault (with injury)</w:t>
            </w:r>
          </w:p>
        </w:tc>
        <w:tc>
          <w:tcPr>
            <w:tcW w:w="1985" w:type="dxa"/>
          </w:tcPr>
          <w:p w14:paraId="6FA993E7" w14:textId="4F48ACCF" w:rsidR="0038418B" w:rsidRDefault="0038418B" w:rsidP="008B1300">
            <w:pPr>
              <w:spacing w:line="276" w:lineRule="auto"/>
            </w:pPr>
            <w:r>
              <w:t>1</w:t>
            </w:r>
          </w:p>
        </w:tc>
      </w:tr>
      <w:tr w:rsidR="0038418B" w14:paraId="0DB90F65" w14:textId="77777777" w:rsidTr="0038418B">
        <w:tc>
          <w:tcPr>
            <w:tcW w:w="5665" w:type="dxa"/>
          </w:tcPr>
          <w:p w14:paraId="17100CED" w14:textId="5771315F" w:rsidR="0038418B" w:rsidRDefault="0038418B" w:rsidP="008B1300">
            <w:pPr>
              <w:spacing w:line="276" w:lineRule="auto"/>
            </w:pPr>
            <w:r>
              <w:t>Group 2 – Sexual Crimes</w:t>
            </w:r>
          </w:p>
        </w:tc>
        <w:tc>
          <w:tcPr>
            <w:tcW w:w="1985" w:type="dxa"/>
          </w:tcPr>
          <w:p w14:paraId="5DCC9D3D" w14:textId="3C64A199" w:rsidR="0038418B" w:rsidRDefault="0038418B" w:rsidP="008B1300">
            <w:pPr>
              <w:spacing w:line="276" w:lineRule="auto"/>
            </w:pPr>
            <w:r>
              <w:t>1</w:t>
            </w:r>
          </w:p>
        </w:tc>
      </w:tr>
      <w:tr w:rsidR="0038418B" w14:paraId="5EA5754F" w14:textId="77777777" w:rsidTr="0038418B">
        <w:tc>
          <w:tcPr>
            <w:tcW w:w="5665" w:type="dxa"/>
          </w:tcPr>
          <w:p w14:paraId="0F904E31" w14:textId="6C4BA1BE" w:rsidR="0038418B" w:rsidRDefault="0038418B" w:rsidP="008B1300">
            <w:pPr>
              <w:spacing w:line="276" w:lineRule="auto"/>
            </w:pPr>
            <w:r>
              <w:t>Vandalism</w:t>
            </w:r>
          </w:p>
        </w:tc>
        <w:tc>
          <w:tcPr>
            <w:tcW w:w="1985" w:type="dxa"/>
          </w:tcPr>
          <w:p w14:paraId="2E145FA1" w14:textId="77777777" w:rsidR="0038418B" w:rsidRDefault="0038418B" w:rsidP="008B1300">
            <w:pPr>
              <w:spacing w:line="276" w:lineRule="auto"/>
            </w:pPr>
            <w:r>
              <w:t>2</w:t>
            </w:r>
          </w:p>
        </w:tc>
      </w:tr>
      <w:tr w:rsidR="0038418B" w14:paraId="54A8C88B" w14:textId="77777777" w:rsidTr="0038418B">
        <w:tc>
          <w:tcPr>
            <w:tcW w:w="5665" w:type="dxa"/>
          </w:tcPr>
          <w:p w14:paraId="0C923F07" w14:textId="17563D6B" w:rsidR="0038418B" w:rsidRDefault="0038418B" w:rsidP="008B1300">
            <w:pPr>
              <w:spacing w:line="276" w:lineRule="auto"/>
            </w:pPr>
            <w:r>
              <w:t>Breach of the peace</w:t>
            </w:r>
          </w:p>
        </w:tc>
        <w:tc>
          <w:tcPr>
            <w:tcW w:w="1985" w:type="dxa"/>
          </w:tcPr>
          <w:p w14:paraId="6188B586" w14:textId="1B7D154C" w:rsidR="0038418B" w:rsidRDefault="0038418B" w:rsidP="008B1300">
            <w:pPr>
              <w:spacing w:line="276" w:lineRule="auto"/>
            </w:pPr>
            <w:r>
              <w:t>2</w:t>
            </w:r>
          </w:p>
        </w:tc>
      </w:tr>
      <w:tr w:rsidR="0038418B" w14:paraId="7AC834EB" w14:textId="77777777" w:rsidTr="0038418B">
        <w:tc>
          <w:tcPr>
            <w:tcW w:w="5665" w:type="dxa"/>
          </w:tcPr>
          <w:p w14:paraId="6A2267CB" w14:textId="3A818375" w:rsidR="0038418B" w:rsidRDefault="0038418B" w:rsidP="008B1300">
            <w:pPr>
              <w:spacing w:line="276" w:lineRule="auto"/>
            </w:pPr>
            <w:r>
              <w:t>Racially aggravated conduct</w:t>
            </w:r>
          </w:p>
        </w:tc>
        <w:tc>
          <w:tcPr>
            <w:tcW w:w="1985" w:type="dxa"/>
          </w:tcPr>
          <w:p w14:paraId="44F4B4C8" w14:textId="20BCE0F9" w:rsidR="0038418B" w:rsidRDefault="0038418B" w:rsidP="008B1300">
            <w:pPr>
              <w:spacing w:line="276" w:lineRule="auto"/>
            </w:pPr>
            <w:r>
              <w:t>6</w:t>
            </w:r>
          </w:p>
        </w:tc>
      </w:tr>
      <w:tr w:rsidR="0038418B" w14:paraId="1F0785FC" w14:textId="77777777" w:rsidTr="0038418B">
        <w:tc>
          <w:tcPr>
            <w:tcW w:w="5665" w:type="dxa"/>
          </w:tcPr>
          <w:p w14:paraId="2715BE23" w14:textId="0F2B35BD" w:rsidR="0038418B" w:rsidRDefault="0038418B" w:rsidP="008B1300">
            <w:pPr>
              <w:spacing w:line="276" w:lineRule="auto"/>
            </w:pPr>
            <w:r>
              <w:t xml:space="preserve">Threatening or abusive behaviour </w:t>
            </w:r>
          </w:p>
        </w:tc>
        <w:tc>
          <w:tcPr>
            <w:tcW w:w="1985" w:type="dxa"/>
          </w:tcPr>
          <w:p w14:paraId="082C1AA9" w14:textId="33142479" w:rsidR="0038418B" w:rsidRDefault="0038418B" w:rsidP="008B1300">
            <w:pPr>
              <w:spacing w:line="276" w:lineRule="auto"/>
            </w:pPr>
            <w:r>
              <w:t>17</w:t>
            </w:r>
          </w:p>
        </w:tc>
      </w:tr>
      <w:tr w:rsidR="0038418B" w14:paraId="1CB8A371" w14:textId="77777777" w:rsidTr="0038418B">
        <w:tc>
          <w:tcPr>
            <w:tcW w:w="5665" w:type="dxa"/>
          </w:tcPr>
          <w:p w14:paraId="7EABDE0C" w14:textId="3E04FF8A" w:rsidR="0038418B" w:rsidRDefault="0038418B" w:rsidP="008B1300">
            <w:pPr>
              <w:spacing w:line="276" w:lineRule="auto"/>
            </w:pPr>
            <w:r>
              <w:t>Threatening or abusive behaviour of a retail worker</w:t>
            </w:r>
          </w:p>
        </w:tc>
        <w:tc>
          <w:tcPr>
            <w:tcW w:w="1985" w:type="dxa"/>
          </w:tcPr>
          <w:p w14:paraId="227279D5" w14:textId="26C80DB3" w:rsidR="0038418B" w:rsidRDefault="0038418B" w:rsidP="008B1300">
            <w:pPr>
              <w:spacing w:line="276" w:lineRule="auto"/>
            </w:pPr>
            <w:r>
              <w:t>1</w:t>
            </w:r>
          </w:p>
        </w:tc>
      </w:tr>
      <w:tr w:rsidR="0038418B" w14:paraId="68CD6120" w14:textId="77777777" w:rsidTr="0038418B">
        <w:tc>
          <w:tcPr>
            <w:tcW w:w="5665" w:type="dxa"/>
          </w:tcPr>
          <w:p w14:paraId="7262EF54" w14:textId="64E0494C" w:rsidR="0038418B" w:rsidRDefault="0038418B" w:rsidP="008B1300">
            <w:pPr>
              <w:spacing w:line="276" w:lineRule="auto"/>
            </w:pPr>
            <w:r>
              <w:t>General post office telecommunications offences</w:t>
            </w:r>
          </w:p>
        </w:tc>
        <w:tc>
          <w:tcPr>
            <w:tcW w:w="1985" w:type="dxa"/>
          </w:tcPr>
          <w:p w14:paraId="58845C14" w14:textId="63C25A67" w:rsidR="0038418B" w:rsidRDefault="0038418B" w:rsidP="008B1300">
            <w:pPr>
              <w:spacing w:line="276" w:lineRule="auto"/>
            </w:pPr>
            <w:r>
              <w:t>7</w:t>
            </w:r>
          </w:p>
        </w:tc>
      </w:tr>
      <w:tr w:rsidR="0038418B" w14:paraId="50E94ED8" w14:textId="77777777" w:rsidTr="0038418B">
        <w:tc>
          <w:tcPr>
            <w:tcW w:w="5665" w:type="dxa"/>
          </w:tcPr>
          <w:p w14:paraId="0DECB9EB" w14:textId="299A3126" w:rsidR="0038418B" w:rsidRPr="0038418B" w:rsidRDefault="0038418B" w:rsidP="008B1300">
            <w:pPr>
              <w:spacing w:line="276" w:lineRule="auto"/>
              <w:rPr>
                <w:b/>
                <w:bCs/>
              </w:rPr>
            </w:pPr>
            <w:r w:rsidRPr="0038418B">
              <w:rPr>
                <w:b/>
                <w:bCs/>
              </w:rPr>
              <w:t>Total</w:t>
            </w:r>
          </w:p>
        </w:tc>
        <w:tc>
          <w:tcPr>
            <w:tcW w:w="1985" w:type="dxa"/>
          </w:tcPr>
          <w:p w14:paraId="4DA5137C" w14:textId="3CFBAF11" w:rsidR="0038418B" w:rsidRPr="00FB1B6F" w:rsidRDefault="0038418B" w:rsidP="008B1300">
            <w:pPr>
              <w:spacing w:line="276" w:lineRule="auto"/>
              <w:rPr>
                <w:b/>
                <w:bCs/>
              </w:rPr>
            </w:pPr>
            <w:r w:rsidRPr="00FB1B6F">
              <w:rPr>
                <w:b/>
                <w:bCs/>
              </w:rPr>
              <w:t>37</w:t>
            </w:r>
          </w:p>
        </w:tc>
      </w:tr>
    </w:tbl>
    <w:p w14:paraId="71488346" w14:textId="77777777" w:rsidR="00890637" w:rsidRPr="00890637" w:rsidRDefault="00890637" w:rsidP="00890637">
      <w:pPr>
        <w:rPr>
          <w:i/>
          <w:iCs/>
          <w:sz w:val="22"/>
          <w:szCs w:val="22"/>
        </w:rPr>
      </w:pPr>
      <w:r w:rsidRPr="00890637">
        <w:rPr>
          <w:i/>
          <w:iCs/>
          <w:sz w:val="22"/>
          <w:szCs w:val="22"/>
        </w:rPr>
        <w:lastRenderedPageBreak/>
        <w:t>All statistics are provisional and should be treated as management information. All data have been extracted from Police Scotland internal systems and are correct as at 15th May 2024.</w:t>
      </w:r>
      <w:r w:rsidRPr="00890637">
        <w:rPr>
          <w:i/>
          <w:iCs/>
          <w:sz w:val="22"/>
          <w:szCs w:val="22"/>
        </w:rPr>
        <w:tab/>
      </w:r>
    </w:p>
    <w:p w14:paraId="05E0FF6E" w14:textId="13D0ED7D" w:rsidR="00890637" w:rsidRPr="00890637" w:rsidRDefault="00890637" w:rsidP="00890637">
      <w:pPr>
        <w:rPr>
          <w:i/>
          <w:iCs/>
          <w:sz w:val="22"/>
          <w:szCs w:val="22"/>
        </w:rPr>
      </w:pPr>
      <w:r w:rsidRPr="00890637">
        <w:rPr>
          <w:i/>
          <w:iCs/>
          <w:sz w:val="22"/>
          <w:szCs w:val="22"/>
        </w:rPr>
        <w:t>1. Please note - the data was extracted on 15th May 2024, this may differ from the extraction date of previously published data.</w:t>
      </w:r>
      <w:r w:rsidRPr="00890637">
        <w:rPr>
          <w:i/>
          <w:iCs/>
          <w:sz w:val="22"/>
          <w:szCs w:val="22"/>
        </w:rPr>
        <w:tab/>
      </w:r>
    </w:p>
    <w:p w14:paraId="23B3E120" w14:textId="77777777" w:rsidR="00890637" w:rsidRPr="00890637" w:rsidRDefault="00890637" w:rsidP="00890637">
      <w:pPr>
        <w:rPr>
          <w:i/>
          <w:iCs/>
          <w:sz w:val="22"/>
          <w:szCs w:val="22"/>
        </w:rPr>
      </w:pPr>
      <w:r w:rsidRPr="00890637">
        <w:rPr>
          <w:i/>
          <w:iCs/>
          <w:sz w:val="22"/>
          <w:szCs w:val="22"/>
        </w:rPr>
        <w:t>2. The data from the 1st April 2024 has been extracted from the National Crime Unifi database.</w:t>
      </w:r>
      <w:r w:rsidRPr="00890637">
        <w:rPr>
          <w:i/>
          <w:iCs/>
          <w:sz w:val="22"/>
          <w:szCs w:val="22"/>
        </w:rPr>
        <w:tab/>
      </w:r>
    </w:p>
    <w:p w14:paraId="46D04B03" w14:textId="77777777" w:rsidR="00890637" w:rsidRPr="00890637" w:rsidRDefault="00890637" w:rsidP="00890637">
      <w:pPr>
        <w:rPr>
          <w:i/>
          <w:iCs/>
          <w:sz w:val="22"/>
          <w:szCs w:val="22"/>
        </w:rPr>
      </w:pPr>
      <w:r w:rsidRPr="00890637">
        <w:rPr>
          <w:i/>
          <w:iCs/>
          <w:sz w:val="22"/>
          <w:szCs w:val="22"/>
        </w:rPr>
        <w:t xml:space="preserve">3. Please note, the data from National Unifi Crime has been extracted based on crimes/offences which include at least one of the hate aggravators and/or are one of the following offences: </w:t>
      </w:r>
      <w:r w:rsidRPr="00890637">
        <w:rPr>
          <w:i/>
          <w:iCs/>
          <w:sz w:val="22"/>
          <w:szCs w:val="22"/>
        </w:rPr>
        <w:tab/>
      </w:r>
    </w:p>
    <w:p w14:paraId="3FDA8962" w14:textId="77777777" w:rsidR="00890637" w:rsidRPr="00890637" w:rsidRDefault="00890637" w:rsidP="00890637">
      <w:pPr>
        <w:rPr>
          <w:i/>
          <w:iCs/>
          <w:sz w:val="22"/>
          <w:szCs w:val="22"/>
        </w:rPr>
      </w:pPr>
      <w:r w:rsidRPr="00890637">
        <w:rPr>
          <w:i/>
          <w:iCs/>
          <w:sz w:val="22"/>
          <w:szCs w:val="22"/>
        </w:rPr>
        <w:t>Racially aggravated harassment</w:t>
      </w:r>
      <w:r w:rsidRPr="00890637">
        <w:rPr>
          <w:i/>
          <w:iCs/>
          <w:sz w:val="22"/>
          <w:szCs w:val="22"/>
        </w:rPr>
        <w:tab/>
      </w:r>
    </w:p>
    <w:p w14:paraId="3DD53F88" w14:textId="77777777" w:rsidR="00890637" w:rsidRPr="00890637" w:rsidRDefault="00890637" w:rsidP="00890637">
      <w:pPr>
        <w:rPr>
          <w:i/>
          <w:iCs/>
          <w:sz w:val="22"/>
          <w:szCs w:val="22"/>
        </w:rPr>
      </w:pPr>
      <w:r w:rsidRPr="00890637">
        <w:rPr>
          <w:i/>
          <w:iCs/>
          <w:sz w:val="22"/>
          <w:szCs w:val="22"/>
        </w:rPr>
        <w:t>Racially aggravated conduct</w:t>
      </w:r>
      <w:r w:rsidRPr="00890637">
        <w:rPr>
          <w:i/>
          <w:iCs/>
          <w:sz w:val="22"/>
          <w:szCs w:val="22"/>
        </w:rPr>
        <w:tab/>
      </w:r>
    </w:p>
    <w:p w14:paraId="38F31076" w14:textId="77777777" w:rsidR="00890637" w:rsidRPr="00890637" w:rsidRDefault="00890637" w:rsidP="00890637">
      <w:pPr>
        <w:rPr>
          <w:i/>
          <w:iCs/>
          <w:sz w:val="22"/>
          <w:szCs w:val="22"/>
        </w:rPr>
      </w:pPr>
      <w:r w:rsidRPr="00890637">
        <w:rPr>
          <w:i/>
          <w:iCs/>
          <w:sz w:val="22"/>
          <w:szCs w:val="22"/>
        </w:rPr>
        <w:t>Stirring up hatred: Racial</w:t>
      </w:r>
      <w:r w:rsidRPr="00890637">
        <w:rPr>
          <w:i/>
          <w:iCs/>
          <w:sz w:val="22"/>
          <w:szCs w:val="22"/>
        </w:rPr>
        <w:tab/>
      </w:r>
    </w:p>
    <w:p w14:paraId="5FCB405A" w14:textId="77777777" w:rsidR="00890637" w:rsidRPr="00890637" w:rsidRDefault="00890637" w:rsidP="00890637">
      <w:pPr>
        <w:rPr>
          <w:i/>
          <w:iCs/>
          <w:sz w:val="22"/>
          <w:szCs w:val="22"/>
        </w:rPr>
      </w:pPr>
      <w:r w:rsidRPr="00890637">
        <w:rPr>
          <w:i/>
          <w:iCs/>
          <w:sz w:val="22"/>
          <w:szCs w:val="22"/>
        </w:rPr>
        <w:t>Stirring up hatred: Other Group</w:t>
      </w:r>
      <w:r w:rsidRPr="00890637">
        <w:rPr>
          <w:i/>
          <w:iCs/>
          <w:sz w:val="22"/>
          <w:szCs w:val="22"/>
        </w:rPr>
        <w:tab/>
      </w:r>
    </w:p>
    <w:p w14:paraId="1370B376" w14:textId="77777777" w:rsidR="00890637" w:rsidRPr="00890637" w:rsidRDefault="00890637" w:rsidP="00890637">
      <w:pPr>
        <w:rPr>
          <w:i/>
          <w:iCs/>
          <w:sz w:val="22"/>
          <w:szCs w:val="22"/>
        </w:rPr>
      </w:pPr>
      <w:r w:rsidRPr="00890637">
        <w:rPr>
          <w:i/>
          <w:iCs/>
          <w:sz w:val="22"/>
          <w:szCs w:val="22"/>
        </w:rPr>
        <w:t>Race Relations Legislation (Public Order Act)</w:t>
      </w:r>
      <w:r w:rsidRPr="00890637">
        <w:rPr>
          <w:i/>
          <w:iCs/>
          <w:sz w:val="22"/>
          <w:szCs w:val="22"/>
        </w:rPr>
        <w:tab/>
      </w:r>
    </w:p>
    <w:p w14:paraId="40FC609F" w14:textId="58C829E8" w:rsidR="00890637" w:rsidRPr="00890637" w:rsidRDefault="00890637" w:rsidP="00890637">
      <w:pPr>
        <w:rPr>
          <w:i/>
          <w:iCs/>
          <w:sz w:val="22"/>
          <w:szCs w:val="22"/>
        </w:rPr>
      </w:pPr>
      <w:r w:rsidRPr="00890637">
        <w:rPr>
          <w:i/>
          <w:iCs/>
          <w:sz w:val="22"/>
          <w:szCs w:val="22"/>
        </w:rPr>
        <w:t>4. Please note, due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r w:rsidRPr="00890637">
        <w:rPr>
          <w:i/>
          <w:iCs/>
          <w:sz w:val="22"/>
          <w:szCs w:val="22"/>
        </w:rPr>
        <w:tab/>
      </w:r>
    </w:p>
    <w:p w14:paraId="66F995CF" w14:textId="11FC8299" w:rsidR="0038418B" w:rsidRDefault="00890637" w:rsidP="00920EB9">
      <w:r>
        <w:t>Table 2 displays the Hate Crime Aggravators associated to the recorded Hate Crimes in Table 1</w:t>
      </w:r>
      <w:r w:rsidR="0038418B">
        <w:t>. Please note, a</w:t>
      </w:r>
      <w:r w:rsidR="0038418B" w:rsidRPr="00A213BA">
        <w:t>s there can be multiple aggravators attached to a hate crime, the total number of aggravators will not reflect the number of unique hate crimes.</w:t>
      </w:r>
    </w:p>
    <w:p w14:paraId="45D88840" w14:textId="08B6FF83" w:rsidR="0038418B" w:rsidRPr="007B0DFF" w:rsidRDefault="00890637" w:rsidP="00920EB9">
      <w:pPr>
        <w:rPr>
          <w:i/>
          <w:iCs/>
        </w:rPr>
      </w:pPr>
      <w:r w:rsidRPr="007B0DFF">
        <w:rPr>
          <w:i/>
          <w:iCs/>
        </w:rPr>
        <w:t xml:space="preserve">Table 2 – Recorded Hate </w:t>
      </w:r>
      <w:r w:rsidR="007B0DFF" w:rsidRPr="007B0DFF">
        <w:rPr>
          <w:i/>
          <w:iCs/>
        </w:rPr>
        <w:t xml:space="preserve">Crime </w:t>
      </w:r>
      <w:r w:rsidRPr="007B0DFF">
        <w:rPr>
          <w:i/>
          <w:iCs/>
        </w:rPr>
        <w:t>Aggravators – 1</w:t>
      </w:r>
      <w:r w:rsidRPr="007B0DFF">
        <w:rPr>
          <w:i/>
          <w:iCs/>
          <w:vertAlign w:val="superscript"/>
        </w:rPr>
        <w:t>st</w:t>
      </w:r>
      <w:r w:rsidRPr="007B0DFF">
        <w:rPr>
          <w:i/>
          <w:iCs/>
        </w:rPr>
        <w:t xml:space="preserve"> April 2024</w:t>
      </w:r>
    </w:p>
    <w:tbl>
      <w:tblPr>
        <w:tblStyle w:val="TableGrid"/>
        <w:tblW w:w="0" w:type="auto"/>
        <w:tblLook w:val="04A0" w:firstRow="1" w:lastRow="0" w:firstColumn="1" w:lastColumn="0" w:noHBand="0" w:noVBand="1"/>
        <w:tblCaption w:val="Table 2 – Recorded Hate Crime Aggravators – 1st April 2024"/>
        <w:tblDescription w:val="Table 2 – Recorded Hate Crime Aggravators – 1st April 2024"/>
      </w:tblPr>
      <w:tblGrid>
        <w:gridCol w:w="2407"/>
        <w:gridCol w:w="2407"/>
      </w:tblGrid>
      <w:tr w:rsidR="00920EB9" w:rsidRPr="00E90585" w14:paraId="2071376D" w14:textId="77777777" w:rsidTr="008B1300">
        <w:tc>
          <w:tcPr>
            <w:tcW w:w="2407" w:type="dxa"/>
            <w:shd w:val="clear" w:color="auto" w:fill="D9D9D9" w:themeFill="background1" w:themeFillShade="D9"/>
          </w:tcPr>
          <w:p w14:paraId="2E9973A1" w14:textId="77777777" w:rsidR="00920EB9" w:rsidRPr="00E90585" w:rsidRDefault="00920EB9" w:rsidP="008B1300">
            <w:pPr>
              <w:spacing w:line="276" w:lineRule="auto"/>
              <w:rPr>
                <w:b/>
                <w:bCs/>
              </w:rPr>
            </w:pPr>
            <w:r>
              <w:rPr>
                <w:b/>
                <w:bCs/>
              </w:rPr>
              <w:t>Aggravator</w:t>
            </w:r>
          </w:p>
        </w:tc>
        <w:tc>
          <w:tcPr>
            <w:tcW w:w="2407" w:type="dxa"/>
            <w:shd w:val="clear" w:color="auto" w:fill="D9D9D9" w:themeFill="background1" w:themeFillShade="D9"/>
          </w:tcPr>
          <w:p w14:paraId="4FF5B6C3" w14:textId="77777777" w:rsidR="00920EB9" w:rsidRPr="00E90585" w:rsidRDefault="00920EB9" w:rsidP="008B1300">
            <w:pPr>
              <w:spacing w:line="276" w:lineRule="auto"/>
              <w:rPr>
                <w:b/>
                <w:bCs/>
              </w:rPr>
            </w:pPr>
            <w:r>
              <w:rPr>
                <w:b/>
                <w:bCs/>
              </w:rPr>
              <w:t>Total</w:t>
            </w:r>
          </w:p>
        </w:tc>
      </w:tr>
      <w:tr w:rsidR="00920EB9" w14:paraId="56A9513F" w14:textId="77777777" w:rsidTr="008B1300">
        <w:tc>
          <w:tcPr>
            <w:tcW w:w="2407" w:type="dxa"/>
          </w:tcPr>
          <w:p w14:paraId="3268093F" w14:textId="77777777" w:rsidR="00920EB9" w:rsidRDefault="00920EB9" w:rsidP="008B1300">
            <w:pPr>
              <w:spacing w:line="276" w:lineRule="auto"/>
            </w:pPr>
            <w:r>
              <w:t>Disability</w:t>
            </w:r>
          </w:p>
        </w:tc>
        <w:tc>
          <w:tcPr>
            <w:tcW w:w="2407" w:type="dxa"/>
          </w:tcPr>
          <w:p w14:paraId="5C3775A6" w14:textId="77777777" w:rsidR="00920EB9" w:rsidRDefault="00920EB9" w:rsidP="008B1300">
            <w:pPr>
              <w:spacing w:line="276" w:lineRule="auto"/>
            </w:pPr>
            <w:r>
              <w:t>8</w:t>
            </w:r>
          </w:p>
        </w:tc>
      </w:tr>
      <w:tr w:rsidR="00920EB9" w14:paraId="061FB725" w14:textId="77777777" w:rsidTr="008B1300">
        <w:tc>
          <w:tcPr>
            <w:tcW w:w="2407" w:type="dxa"/>
          </w:tcPr>
          <w:p w14:paraId="389EC5F7" w14:textId="77777777" w:rsidR="00920EB9" w:rsidRDefault="00920EB9" w:rsidP="008B1300">
            <w:pPr>
              <w:spacing w:line="276" w:lineRule="auto"/>
            </w:pPr>
            <w:r>
              <w:t>Race</w:t>
            </w:r>
          </w:p>
        </w:tc>
        <w:tc>
          <w:tcPr>
            <w:tcW w:w="2407" w:type="dxa"/>
          </w:tcPr>
          <w:p w14:paraId="3E1D53AC" w14:textId="77777777" w:rsidR="00920EB9" w:rsidRDefault="00920EB9" w:rsidP="008B1300">
            <w:pPr>
              <w:spacing w:line="276" w:lineRule="auto"/>
            </w:pPr>
            <w:r>
              <w:t>22</w:t>
            </w:r>
          </w:p>
        </w:tc>
      </w:tr>
      <w:tr w:rsidR="00920EB9" w14:paraId="2D8A4C6D" w14:textId="77777777" w:rsidTr="008B1300">
        <w:tc>
          <w:tcPr>
            <w:tcW w:w="2407" w:type="dxa"/>
          </w:tcPr>
          <w:p w14:paraId="09C1A8C3" w14:textId="77777777" w:rsidR="00920EB9" w:rsidRDefault="00920EB9" w:rsidP="008B1300">
            <w:pPr>
              <w:spacing w:line="276" w:lineRule="auto"/>
            </w:pPr>
            <w:r>
              <w:t>Religion</w:t>
            </w:r>
          </w:p>
        </w:tc>
        <w:tc>
          <w:tcPr>
            <w:tcW w:w="2407" w:type="dxa"/>
          </w:tcPr>
          <w:p w14:paraId="6573FBA8" w14:textId="77777777" w:rsidR="00920EB9" w:rsidRDefault="00920EB9" w:rsidP="008B1300">
            <w:pPr>
              <w:spacing w:line="276" w:lineRule="auto"/>
            </w:pPr>
            <w:r>
              <w:t>2</w:t>
            </w:r>
          </w:p>
        </w:tc>
      </w:tr>
      <w:tr w:rsidR="00920EB9" w14:paraId="6F7DCDFC" w14:textId="77777777" w:rsidTr="008B1300">
        <w:tc>
          <w:tcPr>
            <w:tcW w:w="2407" w:type="dxa"/>
          </w:tcPr>
          <w:p w14:paraId="2DA2B6C2" w14:textId="77777777" w:rsidR="00920EB9" w:rsidRDefault="00920EB9" w:rsidP="008B1300">
            <w:pPr>
              <w:spacing w:line="276" w:lineRule="auto"/>
            </w:pPr>
            <w:r>
              <w:t>Sexual Orientation</w:t>
            </w:r>
          </w:p>
        </w:tc>
        <w:tc>
          <w:tcPr>
            <w:tcW w:w="2407" w:type="dxa"/>
          </w:tcPr>
          <w:p w14:paraId="5649FD0D" w14:textId="77777777" w:rsidR="00920EB9" w:rsidRDefault="00920EB9" w:rsidP="008B1300">
            <w:pPr>
              <w:spacing w:line="276" w:lineRule="auto"/>
            </w:pPr>
            <w:r>
              <w:t>5</w:t>
            </w:r>
          </w:p>
        </w:tc>
      </w:tr>
      <w:tr w:rsidR="00920EB9" w14:paraId="52586984" w14:textId="77777777" w:rsidTr="008B1300">
        <w:tc>
          <w:tcPr>
            <w:tcW w:w="2407" w:type="dxa"/>
          </w:tcPr>
          <w:p w14:paraId="48543CD3" w14:textId="77777777" w:rsidR="00920EB9" w:rsidRDefault="00920EB9" w:rsidP="008B1300">
            <w:pPr>
              <w:spacing w:line="276" w:lineRule="auto"/>
            </w:pPr>
            <w:r>
              <w:t>Transgender</w:t>
            </w:r>
          </w:p>
        </w:tc>
        <w:tc>
          <w:tcPr>
            <w:tcW w:w="2407" w:type="dxa"/>
          </w:tcPr>
          <w:p w14:paraId="62AE434A" w14:textId="77777777" w:rsidR="00920EB9" w:rsidRDefault="00920EB9" w:rsidP="008B1300">
            <w:pPr>
              <w:spacing w:line="276" w:lineRule="auto"/>
            </w:pPr>
            <w:r>
              <w:t>1</w:t>
            </w:r>
          </w:p>
        </w:tc>
      </w:tr>
      <w:tr w:rsidR="00FB1B6F" w14:paraId="281BB4F7" w14:textId="77777777" w:rsidTr="008B1300">
        <w:tc>
          <w:tcPr>
            <w:tcW w:w="2407" w:type="dxa"/>
          </w:tcPr>
          <w:p w14:paraId="42DFD2DA" w14:textId="12C5F4A2" w:rsidR="00FB1B6F" w:rsidRPr="00FB1B6F" w:rsidRDefault="00FB1B6F" w:rsidP="008B1300">
            <w:pPr>
              <w:spacing w:line="276" w:lineRule="auto"/>
              <w:rPr>
                <w:b/>
                <w:bCs/>
              </w:rPr>
            </w:pPr>
            <w:r w:rsidRPr="00FB1B6F">
              <w:rPr>
                <w:b/>
                <w:bCs/>
              </w:rPr>
              <w:t>Total</w:t>
            </w:r>
          </w:p>
        </w:tc>
        <w:tc>
          <w:tcPr>
            <w:tcW w:w="2407" w:type="dxa"/>
          </w:tcPr>
          <w:p w14:paraId="1FA8C1B3" w14:textId="666DC912" w:rsidR="00FB1B6F" w:rsidRPr="00FB1B6F" w:rsidRDefault="00FB1B6F" w:rsidP="008B1300">
            <w:pPr>
              <w:spacing w:line="276" w:lineRule="auto"/>
              <w:rPr>
                <w:b/>
                <w:bCs/>
              </w:rPr>
            </w:pPr>
            <w:r>
              <w:rPr>
                <w:b/>
                <w:bCs/>
              </w:rPr>
              <w:t>38</w:t>
            </w:r>
          </w:p>
        </w:tc>
      </w:tr>
    </w:tbl>
    <w:p w14:paraId="24D4BB8E" w14:textId="77777777" w:rsidR="00920EB9" w:rsidRPr="00890637" w:rsidRDefault="00920EB9" w:rsidP="00920EB9">
      <w:pPr>
        <w:rPr>
          <w:rFonts w:eastAsiaTheme="majorEastAsia" w:cstheme="majorBidi"/>
          <w:bCs/>
          <w:i/>
          <w:iCs/>
          <w:color w:val="000000" w:themeColor="text1"/>
          <w:sz w:val="22"/>
          <w:szCs w:val="22"/>
        </w:rPr>
      </w:pPr>
      <w:r w:rsidRPr="00890637">
        <w:rPr>
          <w:rFonts w:eastAsiaTheme="majorEastAsia" w:cstheme="majorBidi"/>
          <w:bCs/>
          <w:i/>
          <w:iCs/>
          <w:color w:val="000000" w:themeColor="text1"/>
          <w:sz w:val="22"/>
          <w:szCs w:val="22"/>
        </w:rPr>
        <w:lastRenderedPageBreak/>
        <w:t>All statistics are provisional and should be treated as management information. All data have been extracted from Police Scotland internal systems and are correct as at 15th May 2024.</w:t>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p>
    <w:p w14:paraId="102BFED2" w14:textId="77777777" w:rsidR="00920EB9" w:rsidRPr="00890637" w:rsidRDefault="00920EB9" w:rsidP="00920EB9">
      <w:pPr>
        <w:rPr>
          <w:rFonts w:eastAsiaTheme="majorEastAsia" w:cstheme="majorBidi"/>
          <w:bCs/>
          <w:i/>
          <w:iCs/>
          <w:color w:val="000000" w:themeColor="text1"/>
          <w:sz w:val="22"/>
          <w:szCs w:val="22"/>
        </w:rPr>
      </w:pPr>
      <w:r w:rsidRPr="00890637">
        <w:rPr>
          <w:rFonts w:eastAsiaTheme="majorEastAsia" w:cstheme="majorBidi"/>
          <w:bCs/>
          <w:i/>
          <w:iCs/>
          <w:color w:val="000000" w:themeColor="text1"/>
          <w:sz w:val="22"/>
          <w:szCs w:val="22"/>
        </w:rPr>
        <w:t>1. Please note - the data was extracted on 15th May 2024, this may differ from the extraction date of previously published data.</w:t>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p>
    <w:p w14:paraId="79877EDC" w14:textId="77777777" w:rsidR="00890637" w:rsidRDefault="00920EB9" w:rsidP="00920EB9">
      <w:pPr>
        <w:rPr>
          <w:rFonts w:eastAsiaTheme="majorEastAsia" w:cstheme="majorBidi"/>
          <w:bCs/>
          <w:i/>
          <w:iCs/>
          <w:color w:val="000000" w:themeColor="text1"/>
          <w:sz w:val="22"/>
          <w:szCs w:val="22"/>
        </w:rPr>
      </w:pPr>
      <w:r w:rsidRPr="00890637">
        <w:rPr>
          <w:rFonts w:eastAsiaTheme="majorEastAsia" w:cstheme="majorBidi"/>
          <w:bCs/>
          <w:i/>
          <w:iCs/>
          <w:color w:val="000000" w:themeColor="text1"/>
          <w:sz w:val="22"/>
          <w:szCs w:val="22"/>
        </w:rPr>
        <w:t>2. The data from the 1st April 2024 has been extracted from the National Crime Unifi database.</w:t>
      </w:r>
      <w:r w:rsidRPr="00890637">
        <w:rPr>
          <w:rFonts w:eastAsiaTheme="majorEastAsia" w:cstheme="majorBidi"/>
          <w:bCs/>
          <w:i/>
          <w:iCs/>
          <w:color w:val="000000" w:themeColor="text1"/>
          <w:sz w:val="22"/>
          <w:szCs w:val="22"/>
        </w:rPr>
        <w:tab/>
      </w:r>
    </w:p>
    <w:p w14:paraId="6F4B94FE" w14:textId="2EB53A3A" w:rsidR="00890637" w:rsidRDefault="00920EB9" w:rsidP="00920EB9">
      <w:pPr>
        <w:rPr>
          <w:rFonts w:eastAsiaTheme="majorEastAsia" w:cstheme="majorBidi"/>
          <w:bCs/>
          <w:i/>
          <w:iCs/>
          <w:color w:val="000000" w:themeColor="text1"/>
          <w:sz w:val="22"/>
          <w:szCs w:val="22"/>
        </w:rPr>
      </w:pPr>
      <w:r w:rsidRPr="00890637">
        <w:rPr>
          <w:rFonts w:eastAsiaTheme="majorEastAsia" w:cstheme="majorBidi"/>
          <w:bCs/>
          <w:i/>
          <w:iCs/>
          <w:color w:val="000000" w:themeColor="text1"/>
          <w:sz w:val="22"/>
          <w:szCs w:val="22"/>
        </w:rPr>
        <w:t>3. Please note, the data from National Unifi Crime has been extracted based on the hate crime aggravators.  Not all recorded hate crimes include an aggravator within National Unifi Crime.</w:t>
      </w:r>
      <w:r w:rsidRPr="00890637">
        <w:rPr>
          <w:rFonts w:eastAsiaTheme="majorEastAsia" w:cstheme="majorBidi"/>
          <w:bCs/>
          <w:i/>
          <w:iCs/>
          <w:color w:val="000000" w:themeColor="text1"/>
          <w:sz w:val="22"/>
          <w:szCs w:val="22"/>
        </w:rPr>
        <w:tab/>
      </w:r>
    </w:p>
    <w:p w14:paraId="32A81615" w14:textId="51A62E50" w:rsidR="00920EB9" w:rsidRPr="00890637" w:rsidRDefault="00920EB9" w:rsidP="00920EB9">
      <w:pPr>
        <w:rPr>
          <w:rFonts w:eastAsiaTheme="majorEastAsia" w:cstheme="majorBidi"/>
          <w:bCs/>
          <w:i/>
          <w:iCs/>
          <w:color w:val="000000" w:themeColor="text1"/>
          <w:sz w:val="22"/>
          <w:szCs w:val="22"/>
        </w:rPr>
      </w:pPr>
      <w:r w:rsidRPr="00890637">
        <w:rPr>
          <w:rFonts w:eastAsiaTheme="majorEastAsia" w:cstheme="majorBidi"/>
          <w:bCs/>
          <w:i/>
          <w:iCs/>
          <w:color w:val="000000" w:themeColor="text1"/>
          <w:sz w:val="22"/>
          <w:szCs w:val="22"/>
        </w:rPr>
        <w:t>4. Please note, the table displays a count of hate aggravators. This is not a count of unique hate crimes.  Multiple aggravators can be added to the one hate crime.</w:t>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p>
    <w:p w14:paraId="7563F5F9" w14:textId="77777777" w:rsidR="00920EB9" w:rsidRPr="00890637" w:rsidRDefault="00920EB9" w:rsidP="00920EB9">
      <w:pPr>
        <w:rPr>
          <w:rFonts w:eastAsiaTheme="majorEastAsia" w:cstheme="majorBidi"/>
          <w:bCs/>
          <w:i/>
          <w:iCs/>
          <w:color w:val="000000" w:themeColor="text1"/>
          <w:sz w:val="22"/>
          <w:szCs w:val="22"/>
        </w:rPr>
      </w:pPr>
      <w:r w:rsidRPr="00890637">
        <w:rPr>
          <w:rFonts w:eastAsiaTheme="majorEastAsia" w:cstheme="majorBidi"/>
          <w:bCs/>
          <w:i/>
          <w:iCs/>
          <w:color w:val="000000" w:themeColor="text1"/>
          <w:sz w:val="22"/>
          <w:szCs w:val="22"/>
        </w:rPr>
        <w:t>5. Please note, due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r w:rsidRPr="00890637">
        <w:rPr>
          <w:rFonts w:eastAsiaTheme="majorEastAsia" w:cstheme="majorBidi"/>
          <w:bCs/>
          <w:i/>
          <w:iCs/>
          <w:color w:val="000000" w:themeColor="text1"/>
          <w:sz w:val="22"/>
          <w:szCs w:val="22"/>
        </w:rPr>
        <w:tab/>
      </w:r>
    </w:p>
    <w:p w14:paraId="67521721" w14:textId="7F455A68" w:rsidR="00920EB9" w:rsidRPr="00920EB9" w:rsidRDefault="00920EB9" w:rsidP="00920EB9">
      <w:pPr>
        <w:rPr>
          <w:rFonts w:eastAsiaTheme="majorEastAsia" w:cstheme="majorBidi"/>
          <w:bCs/>
          <w:color w:val="000000" w:themeColor="text1"/>
          <w:szCs w:val="26"/>
        </w:rPr>
      </w:pPr>
      <w:r w:rsidRPr="00890637">
        <w:rPr>
          <w:rFonts w:eastAsiaTheme="majorEastAsia" w:cstheme="majorBidi"/>
          <w:bCs/>
          <w:i/>
          <w:iCs/>
          <w:color w:val="000000" w:themeColor="text1"/>
          <w:sz w:val="22"/>
          <w:szCs w:val="22"/>
        </w:rPr>
        <w:t>6. As there can be multiple aggravators attached to a hate crime, the total number of aggravators will not reflect the number of unique hate crimes.</w:t>
      </w:r>
      <w:r w:rsidRPr="00890637">
        <w:rPr>
          <w:rFonts w:eastAsiaTheme="majorEastAsia" w:cstheme="majorBidi"/>
          <w:bCs/>
          <w:color w:val="000000" w:themeColor="text1"/>
          <w:sz w:val="22"/>
          <w:szCs w:val="22"/>
        </w:rPr>
        <w:tab/>
      </w:r>
      <w:r w:rsidRPr="00A213BA">
        <w:rPr>
          <w:rFonts w:eastAsiaTheme="majorEastAsia" w:cstheme="majorBidi"/>
          <w:bCs/>
          <w:color w:val="000000" w:themeColor="text1"/>
          <w:szCs w:val="26"/>
        </w:rPr>
        <w:tab/>
      </w:r>
      <w:r w:rsidRPr="00A213BA">
        <w:rPr>
          <w:rFonts w:eastAsiaTheme="majorEastAsia" w:cstheme="majorBidi"/>
          <w:bCs/>
          <w:color w:val="000000" w:themeColor="text1"/>
          <w:szCs w:val="26"/>
        </w:rPr>
        <w:tab/>
      </w:r>
      <w:r w:rsidRPr="00A213BA">
        <w:rPr>
          <w:rFonts w:eastAsiaTheme="majorEastAsia" w:cstheme="majorBidi"/>
          <w:bCs/>
          <w:color w:val="000000" w:themeColor="text1"/>
          <w:szCs w:val="26"/>
        </w:rPr>
        <w:tab/>
      </w:r>
      <w:r w:rsidRPr="00A213BA">
        <w:rPr>
          <w:rFonts w:eastAsiaTheme="majorEastAsia" w:cstheme="majorBidi"/>
          <w:bCs/>
          <w:color w:val="000000" w:themeColor="text1"/>
          <w:szCs w:val="26"/>
        </w:rPr>
        <w:tab/>
      </w:r>
    </w:p>
    <w:p w14:paraId="45716525" w14:textId="77777777"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a.</w:t>
      </w:r>
      <w:r w:rsidRPr="0022655F">
        <w:rPr>
          <w:rFonts w:eastAsiaTheme="majorEastAsia" w:cstheme="majorBidi"/>
          <w:b/>
          <w:color w:val="000000" w:themeColor="text1"/>
          <w:szCs w:val="26"/>
        </w:rPr>
        <w:tab/>
        <w:t>How many of those complaints were dismissed without action?</w:t>
      </w:r>
    </w:p>
    <w:p w14:paraId="2A4224BE" w14:textId="77777777" w:rsid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b.</w:t>
      </w:r>
      <w:r w:rsidRPr="0022655F">
        <w:rPr>
          <w:rFonts w:eastAsiaTheme="majorEastAsia" w:cstheme="majorBidi"/>
          <w:b/>
          <w:color w:val="000000" w:themeColor="text1"/>
          <w:szCs w:val="26"/>
        </w:rPr>
        <w:tab/>
        <w:t>How many were deemed worth of investigation?</w:t>
      </w:r>
    </w:p>
    <w:p w14:paraId="1304BCD7" w14:textId="2E163B08" w:rsidR="00920EB9" w:rsidRPr="00920EB9" w:rsidRDefault="00920EB9" w:rsidP="0022655F">
      <w:r>
        <w:t>Police Scotland take hate crime very seriously and consider each report on its own merit, taking into account unique and varying circumstances. Each report will be investigated to its full capacity, as such action is taken on each report made to the organisation.</w:t>
      </w:r>
    </w:p>
    <w:p w14:paraId="468860DE" w14:textId="77777777" w:rsid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c.</w:t>
      </w:r>
      <w:r w:rsidRPr="0022655F">
        <w:rPr>
          <w:rFonts w:eastAsiaTheme="majorEastAsia" w:cstheme="majorBidi"/>
          <w:b/>
          <w:color w:val="000000" w:themeColor="text1"/>
          <w:szCs w:val="26"/>
        </w:rPr>
        <w:tab/>
        <w:t xml:space="preserve">How many led to a police record for the accused?  </w:t>
      </w:r>
    </w:p>
    <w:p w14:paraId="774F63A4" w14:textId="77777777" w:rsidR="00920EB9" w:rsidRDefault="00920EB9" w:rsidP="00920EB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8BCC867" w14:textId="77777777" w:rsidR="00E4145D" w:rsidRDefault="00E4145D" w:rsidP="00E4145D">
      <w:pPr>
        <w:tabs>
          <w:tab w:val="left" w:pos="5400"/>
        </w:tabs>
      </w:pPr>
      <w:r>
        <w:t>By way of explanation,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0D60EA97" w14:textId="77777777" w:rsidR="00E4145D" w:rsidRDefault="00E4145D" w:rsidP="00E4145D">
      <w:pPr>
        <w:tabs>
          <w:tab w:val="left" w:pos="5400"/>
        </w:tabs>
      </w:pPr>
      <w:bookmarkStart w:id="0" w:name="_Hlk166232060"/>
      <w:r>
        <w:t>By way of assistance, I have listed below contact details for the Crown Office and Procurator Fiscals Service who may be able to assist you in this matter:</w:t>
      </w:r>
    </w:p>
    <w:p w14:paraId="5A146E28" w14:textId="77777777" w:rsidR="00E4145D" w:rsidRPr="00B11A55" w:rsidRDefault="00E4145D" w:rsidP="00E4145D">
      <w:pPr>
        <w:tabs>
          <w:tab w:val="left" w:pos="5400"/>
        </w:tabs>
      </w:pPr>
      <w:r>
        <w:lastRenderedPageBreak/>
        <w:t xml:space="preserve">Crown Office, 25 Chambers Street, Edinburgh, EH1 1LA or via </w:t>
      </w:r>
      <w:hyperlink r:id="rId11" w:tgtFrame="_blank" w:tooltip="http://www.copfs.gov.uk/" w:history="1">
        <w:r>
          <w:rPr>
            <w:rStyle w:val="Hyperlink"/>
          </w:rPr>
          <w:t>http://www.copfs.gov.uk/</w:t>
        </w:r>
      </w:hyperlink>
      <w:r>
        <w:rPr>
          <w:rStyle w:val="ui-provider"/>
        </w:rPr>
        <w:t> </w:t>
      </w:r>
    </w:p>
    <w:bookmarkEnd w:id="0"/>
    <w:p w14:paraId="2909C821" w14:textId="7FD906E0" w:rsidR="00920EB9" w:rsidRPr="00E4145D" w:rsidRDefault="00E4145D" w:rsidP="00E4145D">
      <w:pPr>
        <w:tabs>
          <w:tab w:val="left" w:pos="5400"/>
        </w:tabs>
      </w:pPr>
      <w:r>
        <w:t xml:space="preserve">A request can also be submitted to COPFS via email using the following address </w:t>
      </w:r>
      <w:hyperlink r:id="rId12" w:history="1">
        <w:r w:rsidRPr="00677822">
          <w:rPr>
            <w:rStyle w:val="Hyperlink"/>
          </w:rPr>
          <w:t>foi@copfs.gsi.gov.uk</w:t>
        </w:r>
      </w:hyperlink>
    </w:p>
    <w:p w14:paraId="78F9084D" w14:textId="77777777"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2.</w:t>
      </w:r>
      <w:r w:rsidRPr="0022655F">
        <w:rPr>
          <w:rFonts w:eastAsiaTheme="majorEastAsia" w:cstheme="majorBidi"/>
          <w:b/>
          <w:color w:val="000000" w:themeColor="text1"/>
          <w:szCs w:val="26"/>
        </w:rPr>
        <w:tab/>
        <w:t>How many complaints did you receive for stirring up hatred?</w:t>
      </w:r>
    </w:p>
    <w:p w14:paraId="04C06225" w14:textId="77777777"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a.</w:t>
      </w:r>
      <w:r w:rsidRPr="0022655F">
        <w:rPr>
          <w:rFonts w:eastAsiaTheme="majorEastAsia" w:cstheme="majorBidi"/>
          <w:b/>
          <w:color w:val="000000" w:themeColor="text1"/>
          <w:szCs w:val="26"/>
        </w:rPr>
        <w:tab/>
        <w:t>How many of those complaints were dismissed without action?</w:t>
      </w:r>
    </w:p>
    <w:p w14:paraId="6381D5C5" w14:textId="77777777"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b.</w:t>
      </w:r>
      <w:r w:rsidRPr="0022655F">
        <w:rPr>
          <w:rFonts w:eastAsiaTheme="majorEastAsia" w:cstheme="majorBidi"/>
          <w:b/>
          <w:color w:val="000000" w:themeColor="text1"/>
          <w:szCs w:val="26"/>
        </w:rPr>
        <w:tab/>
        <w:t>How many were deemed worth of investigation?</w:t>
      </w:r>
    </w:p>
    <w:p w14:paraId="06F2C67A" w14:textId="77777777" w:rsidR="0022655F" w:rsidRPr="0022655F" w:rsidRDefault="0022655F" w:rsidP="0022655F">
      <w:pPr>
        <w:rPr>
          <w:rFonts w:eastAsiaTheme="majorEastAsia" w:cstheme="majorBidi"/>
          <w:b/>
          <w:color w:val="000000" w:themeColor="text1"/>
          <w:szCs w:val="26"/>
        </w:rPr>
      </w:pPr>
      <w:r w:rsidRPr="0022655F">
        <w:rPr>
          <w:rFonts w:eastAsiaTheme="majorEastAsia" w:cstheme="majorBidi"/>
          <w:b/>
          <w:color w:val="000000" w:themeColor="text1"/>
          <w:szCs w:val="26"/>
        </w:rPr>
        <w:t>c.</w:t>
      </w:r>
      <w:r w:rsidRPr="0022655F">
        <w:rPr>
          <w:rFonts w:eastAsiaTheme="majorEastAsia" w:cstheme="majorBidi"/>
          <w:b/>
          <w:color w:val="000000" w:themeColor="text1"/>
          <w:szCs w:val="26"/>
        </w:rPr>
        <w:tab/>
        <w:t>How many led to a police record for the accused?</w:t>
      </w:r>
    </w:p>
    <w:p w14:paraId="35C74088" w14:textId="77777777" w:rsidR="00403FCF" w:rsidRDefault="00403FCF" w:rsidP="00403F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D0EF71C" w14:textId="571E6B21" w:rsidR="00E90585" w:rsidRDefault="00403FCF" w:rsidP="009949F7">
      <w:r>
        <w:t>By way of explanation, there were no Stirring Up Hatred complaints made on 1</w:t>
      </w:r>
      <w:r w:rsidRPr="00403FCF">
        <w:rPr>
          <w:vertAlign w:val="superscript"/>
        </w:rPr>
        <w:t>st</w:t>
      </w:r>
      <w:r>
        <w:t xml:space="preserve"> April 2024 when the Act came into force.</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F7D50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580C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20D2D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55AD0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BA8F3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4F675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8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F2B"/>
    <w:multiLevelType w:val="hybridMultilevel"/>
    <w:tmpl w:val="A1F26AD6"/>
    <w:lvl w:ilvl="0" w:tplc="C4D0DF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8265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2655F"/>
    <w:rsid w:val="00253DF6"/>
    <w:rsid w:val="00255F1E"/>
    <w:rsid w:val="0036503B"/>
    <w:rsid w:val="0038418B"/>
    <w:rsid w:val="003D6D03"/>
    <w:rsid w:val="003E12CA"/>
    <w:rsid w:val="004010DC"/>
    <w:rsid w:val="00403FCF"/>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B0DFF"/>
    <w:rsid w:val="007D55F6"/>
    <w:rsid w:val="007F490F"/>
    <w:rsid w:val="0086779C"/>
    <w:rsid w:val="00874BFD"/>
    <w:rsid w:val="00890637"/>
    <w:rsid w:val="008964EF"/>
    <w:rsid w:val="00915E01"/>
    <w:rsid w:val="00920EB9"/>
    <w:rsid w:val="009631A4"/>
    <w:rsid w:val="00977296"/>
    <w:rsid w:val="009949F7"/>
    <w:rsid w:val="00A1065D"/>
    <w:rsid w:val="00A213BA"/>
    <w:rsid w:val="00A25E93"/>
    <w:rsid w:val="00A320FF"/>
    <w:rsid w:val="00A70AC0"/>
    <w:rsid w:val="00A84EA9"/>
    <w:rsid w:val="00AC443C"/>
    <w:rsid w:val="00B11A55"/>
    <w:rsid w:val="00B17211"/>
    <w:rsid w:val="00B461B2"/>
    <w:rsid w:val="00B654B6"/>
    <w:rsid w:val="00B71B3C"/>
    <w:rsid w:val="00BC389E"/>
    <w:rsid w:val="00BE1888"/>
    <w:rsid w:val="00BF6B81"/>
    <w:rsid w:val="00C02708"/>
    <w:rsid w:val="00C077A8"/>
    <w:rsid w:val="00C14FF4"/>
    <w:rsid w:val="00C606A2"/>
    <w:rsid w:val="00C63872"/>
    <w:rsid w:val="00C84948"/>
    <w:rsid w:val="00CC3C9D"/>
    <w:rsid w:val="00CF1111"/>
    <w:rsid w:val="00D05706"/>
    <w:rsid w:val="00D27DC5"/>
    <w:rsid w:val="00D340B6"/>
    <w:rsid w:val="00D47E36"/>
    <w:rsid w:val="00E004C1"/>
    <w:rsid w:val="00E4145D"/>
    <w:rsid w:val="00E55D79"/>
    <w:rsid w:val="00E71879"/>
    <w:rsid w:val="00E90585"/>
    <w:rsid w:val="00EE2373"/>
    <w:rsid w:val="00EF37F8"/>
    <w:rsid w:val="00EF4761"/>
    <w:rsid w:val="00F21D44"/>
    <w:rsid w:val="00FB1B6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E4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379159659">
      <w:bodyDiv w:val="1"/>
      <w:marLeft w:val="0"/>
      <w:marRight w:val="0"/>
      <w:marTop w:val="0"/>
      <w:marBottom w:val="0"/>
      <w:divBdr>
        <w:top w:val="none" w:sz="0" w:space="0" w:color="auto"/>
        <w:left w:val="none" w:sz="0" w:space="0" w:color="auto"/>
        <w:bottom w:val="none" w:sz="0" w:space="0" w:color="auto"/>
        <w:right w:val="none" w:sz="0" w:space="0" w:color="auto"/>
      </w:divBdr>
    </w:div>
    <w:div w:id="1890914053">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foi@copfs.gsi.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1029</Words>
  <Characters>5866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