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CFF77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346CB">
              <w:t>2097</w:t>
            </w:r>
          </w:p>
          <w:p w14:paraId="5979BB04" w14:textId="60E39C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46CB">
              <w:t>1</w:t>
            </w:r>
            <w:r w:rsidR="00D577F3">
              <w:t>5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EDBC5E" w14:textId="77777777" w:rsidR="001C0D12" w:rsidRDefault="006834AE" w:rsidP="001C0D1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information that is requested through this freedom of information act relates only to the East / West Constable - Sergeant promotion processes. </w:t>
      </w:r>
    </w:p>
    <w:p w14:paraId="2CB2B80B" w14:textId="0AA4169A" w:rsidR="00934DE6" w:rsidRPr="00934DE6" w:rsidRDefault="00934DE6" w:rsidP="00934DE6">
      <w:pPr>
        <w:pStyle w:val="Heading2"/>
      </w:pPr>
      <w:r>
        <w:t xml:space="preserve">1. </w:t>
      </w:r>
      <w:r w:rsidR="00F346CB">
        <w:t xml:space="preserve">How many candidates applied for this process and please confirm all applications have been assessed and provide with a numerical score? </w:t>
      </w:r>
    </w:p>
    <w:p w14:paraId="78E30C00" w14:textId="177105E6" w:rsidR="00AE3358" w:rsidRDefault="00AE3358" w:rsidP="00934DE6">
      <w:r w:rsidRPr="00AE3358">
        <w:t>There were 698 applicants for this process.</w:t>
      </w:r>
    </w:p>
    <w:p w14:paraId="78D500FE" w14:textId="02A8B90C" w:rsidR="00934DE6" w:rsidRDefault="00AE3358" w:rsidP="00934DE6">
      <w:r>
        <w:t>With regards to answering the 2</w:t>
      </w:r>
      <w:r w:rsidRPr="00AE3358">
        <w:rPr>
          <w:vertAlign w:val="superscript"/>
        </w:rPr>
        <w:t>nd</w:t>
      </w:r>
      <w:r>
        <w:t xml:space="preserve"> part of your question i</w:t>
      </w:r>
      <w:r w:rsidR="00934DE6">
        <w:t xml:space="preserve">n terms of the Freedom of Information (Scotland) Act 2002 a public authority is only obliged to provide recorded information. </w:t>
      </w:r>
    </w:p>
    <w:p w14:paraId="1E94010B" w14:textId="77777777" w:rsidR="00934DE6" w:rsidRDefault="00934DE6" w:rsidP="00934DE6">
      <w:r>
        <w:t xml:space="preserve">Under Section 8 of the Act, information which requires </w:t>
      </w:r>
      <w:proofErr w:type="gramStart"/>
      <w:r>
        <w:t>opinion</w:t>
      </w:r>
      <w:proofErr w:type="gramEnd"/>
      <w:r>
        <w:t xml:space="preserve"> or a yes/no response is not in essence a valid request.</w:t>
      </w:r>
    </w:p>
    <w:p w14:paraId="71D6DC57" w14:textId="649B39CA" w:rsidR="0021559B" w:rsidRDefault="00934DE6" w:rsidP="00934DE6">
      <w:r>
        <w:t>To be of ass</w:t>
      </w:r>
      <w:r w:rsidR="0021559B">
        <w:t>istance, the information you have requested is not held in this way. However, the table at the</w:t>
      </w:r>
      <w:r w:rsidR="00FA6A7A">
        <w:t xml:space="preserve"> end</w:t>
      </w:r>
      <w:r w:rsidR="0021559B">
        <w:t xml:space="preserve"> of this letter provides you with the number of applicants and how many of those were progressed through the process.</w:t>
      </w:r>
      <w:r w:rsidRPr="00934DE6">
        <w:t xml:space="preserve"> </w:t>
      </w:r>
      <w:r w:rsidR="0021559B" w:rsidRPr="0021559B">
        <w:t>All applications are subject to local application review.</w:t>
      </w:r>
    </w:p>
    <w:p w14:paraId="300FB782" w14:textId="708AF8B2" w:rsidR="00F346CB" w:rsidRDefault="001C0D12" w:rsidP="003E1CFC">
      <w:pPr>
        <w:pStyle w:val="Heading2"/>
      </w:pPr>
      <w:r>
        <w:t xml:space="preserve">2. </w:t>
      </w:r>
      <w:r w:rsidR="00F346CB">
        <w:t xml:space="preserve">This information is to be divided into each division where each candidate is based </w:t>
      </w:r>
      <w:proofErr w:type="spellStart"/>
      <w:r w:rsidR="00F346CB">
        <w:t>e.g</w:t>
      </w:r>
      <w:proofErr w:type="spellEnd"/>
      <w:r w:rsidR="00F346CB">
        <w:t xml:space="preserve"> </w:t>
      </w:r>
      <w:proofErr w:type="gramStart"/>
      <w:r w:rsidR="00F346CB">
        <w:t>G,K</w:t>
      </w:r>
      <w:proofErr w:type="gramEnd"/>
      <w:r w:rsidR="00F346CB">
        <w:t xml:space="preserve">,L,Q,U,V,C,E,J,P,OSD,CJSD? </w:t>
      </w:r>
    </w:p>
    <w:p w14:paraId="65FFD3E3" w14:textId="288988FD" w:rsidR="00F346CB" w:rsidRDefault="003E1CFC" w:rsidP="00F346CB">
      <w:r>
        <w:t xml:space="preserve">I have provided a table at the end of this letter with this information. </w:t>
      </w:r>
    </w:p>
    <w:p w14:paraId="22708741" w14:textId="29F1F3C3" w:rsidR="00F346CB" w:rsidRDefault="001C0D12" w:rsidP="003E1CFC">
      <w:pPr>
        <w:pStyle w:val="Heading2"/>
      </w:pPr>
      <w:r>
        <w:t xml:space="preserve">3. </w:t>
      </w:r>
      <w:r w:rsidR="00F346CB">
        <w:t xml:space="preserve">Please confirm that all divisions have been subject to a " divisional sift" and how many candidates failed to progress to the next stage of the promotion process? </w:t>
      </w:r>
    </w:p>
    <w:p w14:paraId="52018FA5" w14:textId="330BCB5D" w:rsidR="00F346CB" w:rsidRDefault="003E1CFC" w:rsidP="00F346CB">
      <w:r w:rsidRPr="003E1CFC">
        <w:t>All divisions and departments conducted a local application review of submissions. 327 candidates were not progressed to assessment centre.</w:t>
      </w:r>
    </w:p>
    <w:p w14:paraId="20F08E47" w14:textId="77777777" w:rsidR="00F346CB" w:rsidRDefault="00F346CB" w:rsidP="003E1CFC">
      <w:pPr>
        <w:pStyle w:val="Heading2"/>
      </w:pPr>
      <w:r>
        <w:lastRenderedPageBreak/>
        <w:t xml:space="preserve">4. Please confirm how many spaces divisions are allocated for applicants to progress and the framework surrounding these calculations? </w:t>
      </w:r>
    </w:p>
    <w:p w14:paraId="412E5637" w14:textId="77777777" w:rsidR="001C0D12" w:rsidRDefault="003E1CFC" w:rsidP="00F346CB">
      <w:r>
        <w:t>Allocations were calculated based on organisational need until November 2024, looking at current and projected vacancies and adding a</w:t>
      </w:r>
      <w:r w:rsidR="001C0D12">
        <w:t xml:space="preserve"> </w:t>
      </w:r>
      <w:r>
        <w:t xml:space="preserve">standard uplift of spaces to each area which factored national pass rates at assessment centre. </w:t>
      </w:r>
    </w:p>
    <w:p w14:paraId="50E964F8" w14:textId="77777777" w:rsidR="00F346CB" w:rsidRDefault="00F346CB" w:rsidP="001C0D12">
      <w:pPr>
        <w:pStyle w:val="Heading2"/>
      </w:pPr>
      <w:r>
        <w:t xml:space="preserve">5. Please confirm the numerical pass mark set for the above applicants? And please confirm that all divisions as stated above were subject to the same benchmark? </w:t>
      </w:r>
    </w:p>
    <w:p w14:paraId="43FF79F9" w14:textId="6BD130B0" w:rsidR="001C0D12" w:rsidRDefault="001C0D12" w:rsidP="001C0D12">
      <w:r>
        <w:t xml:space="preserve">A set pass mark was not mandated. Each candidate was </w:t>
      </w:r>
      <w:proofErr w:type="gramStart"/>
      <w:r>
        <w:t>scored</w:t>
      </w:r>
      <w:proofErr w:type="gramEnd"/>
      <w:r>
        <w:t xml:space="preserve"> and feedback written against their performance. This score and written feedback </w:t>
      </w:r>
      <w:proofErr w:type="gramStart"/>
      <w:r>
        <w:t>was</w:t>
      </w:r>
      <w:proofErr w:type="gramEnd"/>
      <w:r>
        <w:t xml:space="preserve"> available for every candidate.</w:t>
      </w:r>
    </w:p>
    <w:p w14:paraId="24D371C9" w14:textId="5CE6611C" w:rsidR="00F346CB" w:rsidRDefault="001C0D12" w:rsidP="001C0D12">
      <w:r>
        <w:t>Thereafter the business area will take the best performing candidate score and drop that score down to the number of spaces allocated at assessment, known as a merit line.</w:t>
      </w:r>
    </w:p>
    <w:p w14:paraId="5EC0F0E1" w14:textId="77777777" w:rsidR="00F346CB" w:rsidRDefault="00F346CB" w:rsidP="001C0D12">
      <w:pPr>
        <w:pStyle w:val="Heading2"/>
      </w:pPr>
      <w:r>
        <w:t xml:space="preserve">6. Please provide a breakdown of where candidates who failed to achieve this mark as per home divisions? </w:t>
      </w:r>
    </w:p>
    <w:p w14:paraId="2AE5BECE" w14:textId="2CF26E51" w:rsidR="00F346CB" w:rsidRDefault="001C0D12" w:rsidP="00F346CB">
      <w:r>
        <w:t>Please see table at end of letter</w:t>
      </w:r>
      <w:r w:rsidR="00690EA6">
        <w:t xml:space="preserve"> which provides this information. </w:t>
      </w:r>
    </w:p>
    <w:p w14:paraId="4AD5C139" w14:textId="77777777" w:rsidR="00F346CB" w:rsidRDefault="00F346CB" w:rsidP="00690EA6">
      <w:pPr>
        <w:pStyle w:val="Heading2"/>
      </w:pPr>
      <w:r>
        <w:t xml:space="preserve">7. Please confirm the numerical values of those who meet the above benchmark </w:t>
      </w:r>
      <w:proofErr w:type="spellStart"/>
      <w:r>
        <w:t>e.g</w:t>
      </w:r>
      <w:proofErr w:type="spellEnd"/>
      <w:r>
        <w:t xml:space="preserve"> how many scored 16, 17 and 18 or above? (Example holds </w:t>
      </w:r>
      <w:proofErr w:type="spellStart"/>
      <w:r>
        <w:t>passmark</w:t>
      </w:r>
      <w:proofErr w:type="spellEnd"/>
      <w:r>
        <w:t xml:space="preserve"> as 16).</w:t>
      </w:r>
    </w:p>
    <w:p w14:paraId="7D2EDAD3" w14:textId="77777777" w:rsidR="00690EA6" w:rsidRDefault="00690EA6" w:rsidP="00690EA6">
      <w:r>
        <w:t xml:space="preserve">I can advise you that Police Scotland does not hold the information requested by you.  In terms of Section 17 of the Act, this letter represents a formal notice that information is not held.       </w:t>
      </w:r>
    </w:p>
    <w:p w14:paraId="05628020" w14:textId="789E29C8" w:rsidR="00F346CB" w:rsidRDefault="00690EA6" w:rsidP="00F346CB">
      <w:r>
        <w:t>By way of explanation. L</w:t>
      </w:r>
      <w:r w:rsidRPr="00690EA6">
        <w:t xml:space="preserve">ocal </w:t>
      </w:r>
      <w:r>
        <w:t>S</w:t>
      </w:r>
      <w:r w:rsidRPr="00690EA6">
        <w:t xml:space="preserve">enior </w:t>
      </w:r>
      <w:r>
        <w:t>L</w:t>
      </w:r>
      <w:r w:rsidRPr="00690EA6">
        <w:t>eaders assess their own candidates’ performance based on a numerical score, which gives a candidate written feedback.</w:t>
      </w:r>
    </w:p>
    <w:p w14:paraId="2EDA0BFD" w14:textId="77777777" w:rsidR="00F346CB" w:rsidRDefault="00F346CB" w:rsidP="00690EA6">
      <w:pPr>
        <w:pStyle w:val="Heading2"/>
      </w:pPr>
      <w:r>
        <w:t xml:space="preserve">8. Please confirm that from officers who reached the above benchmark score </w:t>
      </w:r>
      <w:proofErr w:type="spellStart"/>
      <w:r>
        <w:t>e.g</w:t>
      </w:r>
      <w:proofErr w:type="spellEnd"/>
      <w:r>
        <w:t xml:space="preserve"> 16, how many officers will be progressing to the next stage in the promotion process? and how many who ascertained the benchmark score only </w:t>
      </w:r>
      <w:proofErr w:type="spellStart"/>
      <w:r>
        <w:t>e.g</w:t>
      </w:r>
      <w:proofErr w:type="spellEnd"/>
      <w:r>
        <w:t xml:space="preserve"> 16 will not be progressing as per home divisions. </w:t>
      </w:r>
    </w:p>
    <w:p w14:paraId="53183778" w14:textId="1B0D91A6" w:rsidR="00690EA6" w:rsidRDefault="00690EA6" w:rsidP="00690EA6">
      <w:r w:rsidRPr="00690EA6">
        <w:t>Pl</w:t>
      </w:r>
      <w:r w:rsidR="00FA6A7A">
        <w:t>ease see table at end of letter.</w:t>
      </w:r>
    </w:p>
    <w:p w14:paraId="3133BC7F" w14:textId="7299438D" w:rsidR="00690EA6" w:rsidRDefault="00690EA6" w:rsidP="00690EA6">
      <w:r>
        <w:t>Each</w:t>
      </w:r>
      <w:r w:rsidR="00FA6A7A">
        <w:t xml:space="preserve"> of the</w:t>
      </w:r>
      <w:r>
        <w:t xml:space="preserve"> business areas were allocated spaces at the assessment linked to vacancies projected until November 2024.</w:t>
      </w:r>
    </w:p>
    <w:p w14:paraId="28D324B0" w14:textId="64BD6A96" w:rsidR="00690EA6" w:rsidRDefault="00690EA6" w:rsidP="00690EA6">
      <w:r>
        <w:t>82 current vacancies at rank of Sergeant.</w:t>
      </w:r>
    </w:p>
    <w:p w14:paraId="47333187" w14:textId="77777777" w:rsidR="00690EA6" w:rsidRDefault="00690EA6" w:rsidP="00690EA6">
      <w:r>
        <w:lastRenderedPageBreak/>
        <w:t>349 Projected vacancies at rank of Sergeant until End 2024.</w:t>
      </w:r>
    </w:p>
    <w:p w14:paraId="7E0AC3DF" w14:textId="51AEF520" w:rsidR="00F346CB" w:rsidRDefault="00690EA6" w:rsidP="00F346CB">
      <w:r>
        <w:t>371 Candidates progressing to assessment centre.</w:t>
      </w:r>
    </w:p>
    <w:p w14:paraId="7E092F7A" w14:textId="4D3E9A57" w:rsidR="00F346CB" w:rsidRDefault="00F346CB" w:rsidP="00690EA6">
      <w:pPr>
        <w:pStyle w:val="Heading2"/>
      </w:pPr>
      <w:r>
        <w:t>9. From the in</w:t>
      </w:r>
      <w:r w:rsidR="00690EA6">
        <w:t>i</w:t>
      </w:r>
      <w:r>
        <w:t>tial appl</w:t>
      </w:r>
      <w:r w:rsidR="00690EA6">
        <w:t>i</w:t>
      </w:r>
      <w:r>
        <w:t xml:space="preserve">cants how many, if any scores have been reviewed and </w:t>
      </w:r>
      <w:proofErr w:type="gramStart"/>
      <w:r>
        <w:t>as a result of</w:t>
      </w:r>
      <w:proofErr w:type="gramEnd"/>
      <w:r>
        <w:t xml:space="preserve"> the review are now deemed eligible for the next promotion stage? </w:t>
      </w:r>
    </w:p>
    <w:p w14:paraId="602EED79" w14:textId="77777777" w:rsidR="00690EA6" w:rsidRDefault="00690EA6" w:rsidP="00690EA6">
      <w:r>
        <w:t xml:space="preserve">I can advise you that Police Scotland does not hold the information requested by you.  In terms of Section 17 of the Act, this letter represents a formal notice that information is not held.       </w:t>
      </w:r>
    </w:p>
    <w:p w14:paraId="416F6A0F" w14:textId="736AAD8C" w:rsidR="00F346CB" w:rsidRDefault="00690EA6" w:rsidP="00690EA6">
      <w:r>
        <w:t xml:space="preserve">By way of explanation, no scores have been reviewed by the National Police Promotion Process Team. </w:t>
      </w:r>
    </w:p>
    <w:p w14:paraId="6A449C56" w14:textId="77777777" w:rsidR="00F346CB" w:rsidRDefault="00F346CB" w:rsidP="00690EA6">
      <w:pPr>
        <w:pStyle w:val="Heading2"/>
      </w:pPr>
      <w:r>
        <w:t xml:space="preserve">10. Please confirm what training assessors are required to complete and how often these skills are refreshed / renewed and assessed? </w:t>
      </w:r>
    </w:p>
    <w:p w14:paraId="39D6BC22" w14:textId="324B3B0D" w:rsidR="00BF6B81" w:rsidRPr="00B11A55" w:rsidRDefault="00690EA6" w:rsidP="00793DD5">
      <w:pPr>
        <w:tabs>
          <w:tab w:val="left" w:pos="5400"/>
        </w:tabs>
      </w:pPr>
      <w:r w:rsidRPr="00690EA6">
        <w:t>The NPPP team run assessor training ahead of each process. This is required for any new assessor. Any significant change to process would result in further required training.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26605C0" w14:textId="77777777" w:rsidR="00B34CF8" w:rsidRDefault="00B34CF8" w:rsidP="007F490F">
      <w:pPr>
        <w:jc w:val="both"/>
      </w:pPr>
    </w:p>
    <w:p w14:paraId="0F7749CB" w14:textId="77777777" w:rsidR="00B34CF8" w:rsidRDefault="00B34CF8" w:rsidP="007F490F">
      <w:pPr>
        <w:jc w:val="both"/>
      </w:pPr>
    </w:p>
    <w:p w14:paraId="3B8EBB67" w14:textId="77777777" w:rsidR="00B34CF8" w:rsidRDefault="00B34CF8" w:rsidP="007F490F">
      <w:pPr>
        <w:jc w:val="both"/>
      </w:pPr>
    </w:p>
    <w:p w14:paraId="4EB4F4C3" w14:textId="77777777" w:rsidR="00B34CF8" w:rsidRDefault="00B34CF8" w:rsidP="007F490F">
      <w:pPr>
        <w:jc w:val="both"/>
      </w:pPr>
    </w:p>
    <w:p w14:paraId="27BD899C" w14:textId="77777777" w:rsidR="00B34CF8" w:rsidRDefault="00B34CF8" w:rsidP="007F490F">
      <w:pPr>
        <w:jc w:val="both"/>
      </w:pPr>
    </w:p>
    <w:tbl>
      <w:tblPr>
        <w:tblW w:w="7775" w:type="dxa"/>
        <w:tblLayout w:type="fixed"/>
        <w:tblLook w:val="04A0" w:firstRow="1" w:lastRow="0" w:firstColumn="1" w:lastColumn="0" w:noHBand="0" w:noVBand="1"/>
      </w:tblPr>
      <w:tblGrid>
        <w:gridCol w:w="1923"/>
        <w:gridCol w:w="1463"/>
        <w:gridCol w:w="1463"/>
        <w:gridCol w:w="1463"/>
        <w:gridCol w:w="1463"/>
      </w:tblGrid>
      <w:tr w:rsidR="00B34CF8" w:rsidRPr="00B34CF8" w14:paraId="3C2ED375" w14:textId="77777777" w:rsidTr="008C3C9F">
        <w:trPr>
          <w:trHeight w:val="1873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BC5EA" w14:textId="77777777" w:rsidR="00B34CF8" w:rsidRPr="00B34CF8" w:rsidRDefault="00B34CF8" w:rsidP="00B34CF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82B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Total Applications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799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Initial Supported Applications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0D5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Allocation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C14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Final Submission Progressing to Assessment Centre</w:t>
            </w:r>
          </w:p>
        </w:tc>
      </w:tr>
      <w:tr w:rsidR="00B34CF8" w:rsidRPr="00B34CF8" w14:paraId="4F8446AA" w14:textId="77777777" w:rsidTr="008C3C9F">
        <w:trPr>
          <w:trHeight w:val="302"/>
        </w:trPr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0E9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J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7D97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CF50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F188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3B8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</w:tr>
      <w:tr w:rsidR="00B34CF8" w:rsidRPr="00B34CF8" w14:paraId="5862B504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D06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02A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695B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493C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5E8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B34CF8" w:rsidRPr="00B34CF8" w14:paraId="7ACEC406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2EF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DC1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9C8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29AA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471CE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B34CF8" w:rsidRPr="00B34CF8" w14:paraId="25B962BE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125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611C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5B8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C9D1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0423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B34CF8" w:rsidRPr="00B34CF8" w14:paraId="5B6B4F79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EB5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2E8B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699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3FD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EC6B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B34CF8" w:rsidRPr="00B34CF8" w14:paraId="4F571829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B6B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Q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4C1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3F7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3B1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44FD3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B34CF8" w:rsidRPr="00B34CF8" w14:paraId="343BDF92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6B3C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0103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B0B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755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52D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B34CF8" w:rsidRPr="00B34CF8" w14:paraId="27769A7B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CC47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270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2611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0A9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7B6A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B34CF8" w:rsidRPr="00B34CF8" w14:paraId="2D8F74BE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1F8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26E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8572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473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22342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B34CF8" w:rsidRPr="00B34CF8" w14:paraId="6F3F8080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67B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V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281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7B7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ECF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C5397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B34CF8" w:rsidRPr="00B34CF8" w14:paraId="112F7FAB" w14:textId="77777777" w:rsidTr="008C3C9F">
        <w:trPr>
          <w:trHeight w:val="856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194A0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Corporate Services Division and PSD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AE2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8A33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886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313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B34CF8" w:rsidRPr="00B34CF8" w14:paraId="49A48404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8C8C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LTD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D75C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D1F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E02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EF7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B34CF8" w:rsidRPr="00B34CF8" w14:paraId="6AA966DD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97AD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C3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C68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E26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07FE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88A2B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B34CF8" w:rsidRPr="00B34CF8" w14:paraId="59C6DB61" w14:textId="77777777" w:rsidTr="008C3C9F">
        <w:trPr>
          <w:trHeight w:val="574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24EB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Criminal Justice Services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362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FD22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FD70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5D5E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B34CF8" w:rsidRPr="00B34CF8" w14:paraId="5CFAB5A9" w14:textId="77777777" w:rsidTr="008C3C9F">
        <w:trPr>
          <w:trHeight w:val="574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F85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Operational Support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3013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216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E707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0A80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B34CF8" w:rsidRPr="00B34CF8" w14:paraId="1E91BAE5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F92D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PPCW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F29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4A06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8061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C58F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B34CF8" w:rsidRPr="00B34CF8" w14:paraId="6BCFD657" w14:textId="77777777" w:rsidTr="008C3C9F">
        <w:trPr>
          <w:trHeight w:val="574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A2A8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Specialist Crime Division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DB1A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46A4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E562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FB85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34CF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79</w:t>
            </w:r>
          </w:p>
        </w:tc>
      </w:tr>
      <w:tr w:rsidR="00B34CF8" w:rsidRPr="00B34CF8" w14:paraId="565D4532" w14:textId="77777777" w:rsidTr="008C3C9F">
        <w:trPr>
          <w:trHeight w:val="302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F5EC7A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21E6235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  <w:t>698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32AA4D7E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  <w:t>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4A6BA421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  <w:t>441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E845929" w14:textId="77777777" w:rsidR="00B34CF8" w:rsidRPr="00B34CF8" w:rsidRDefault="00B34CF8" w:rsidP="00B34CF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B34CF8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GB"/>
              </w:rPr>
              <w:t>371</w:t>
            </w:r>
          </w:p>
        </w:tc>
      </w:tr>
    </w:tbl>
    <w:p w14:paraId="53347E0F" w14:textId="77777777" w:rsidR="00B34CF8" w:rsidRPr="00B34CF8" w:rsidRDefault="00B34CF8" w:rsidP="00B34CF8">
      <w:pPr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14:paraId="1FD4D8B2" w14:textId="77777777" w:rsidR="00B34CF8" w:rsidRPr="00B34CF8" w:rsidRDefault="00B34CF8" w:rsidP="00B34CF8">
      <w:pPr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14:paraId="2E687275" w14:textId="77777777" w:rsidR="00B34CF8" w:rsidRDefault="00B34CF8" w:rsidP="007F490F">
      <w:pPr>
        <w:jc w:val="both"/>
      </w:pP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6A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CD1"/>
    <w:multiLevelType w:val="hybridMultilevel"/>
    <w:tmpl w:val="7860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128C"/>
    <w:multiLevelType w:val="hybridMultilevel"/>
    <w:tmpl w:val="81D2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22E"/>
    <w:multiLevelType w:val="hybridMultilevel"/>
    <w:tmpl w:val="FBAEE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368585">
    <w:abstractNumId w:val="3"/>
  </w:num>
  <w:num w:numId="2" w16cid:durableId="1356539746">
    <w:abstractNumId w:val="2"/>
  </w:num>
  <w:num w:numId="3" w16cid:durableId="1030951850">
    <w:abstractNumId w:val="0"/>
  </w:num>
  <w:num w:numId="4" w16cid:durableId="13718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C0D12"/>
    <w:rsid w:val="00207326"/>
    <w:rsid w:val="0021559B"/>
    <w:rsid w:val="00253DF6"/>
    <w:rsid w:val="00255F1E"/>
    <w:rsid w:val="002B0AB6"/>
    <w:rsid w:val="0036503B"/>
    <w:rsid w:val="00393CCF"/>
    <w:rsid w:val="003D6D03"/>
    <w:rsid w:val="003E12CA"/>
    <w:rsid w:val="003E1CFC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34AE"/>
    <w:rsid w:val="00690EA6"/>
    <w:rsid w:val="006D5799"/>
    <w:rsid w:val="00750D83"/>
    <w:rsid w:val="00793DD5"/>
    <w:rsid w:val="007D55F6"/>
    <w:rsid w:val="007F490F"/>
    <w:rsid w:val="0086779C"/>
    <w:rsid w:val="00874BFD"/>
    <w:rsid w:val="008964EF"/>
    <w:rsid w:val="00934DE6"/>
    <w:rsid w:val="009631A4"/>
    <w:rsid w:val="00977296"/>
    <w:rsid w:val="00A212C1"/>
    <w:rsid w:val="00A25E93"/>
    <w:rsid w:val="00A320FF"/>
    <w:rsid w:val="00A70AC0"/>
    <w:rsid w:val="00A84EA9"/>
    <w:rsid w:val="00AC443C"/>
    <w:rsid w:val="00AE3358"/>
    <w:rsid w:val="00B11A55"/>
    <w:rsid w:val="00B17211"/>
    <w:rsid w:val="00B34CF8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77F3"/>
    <w:rsid w:val="00E55D79"/>
    <w:rsid w:val="00EE2373"/>
    <w:rsid w:val="00EF4761"/>
    <w:rsid w:val="00F346CB"/>
    <w:rsid w:val="00F919D4"/>
    <w:rsid w:val="00FA6A7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941</Words>
  <Characters>5369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2023-09-13T07:27:00Z</dcterms:created>
  <dcterms:modified xsi:type="dcterms:W3CDTF">2023-09-15T13:32:00Z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