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F610ED" w14:textId="23352204" w:rsidR="00301716" w:rsidRDefault="00400D62" w:rsidP="002554CE">
      <w:pPr>
        <w:pStyle w:val="Heading4"/>
      </w:pPr>
      <w:bookmarkStart w:id="0" w:name="_Toc157687357"/>
      <w:bookmarkStart w:id="1" w:name="_Toc157696601"/>
      <w:bookmarkStart w:id="2" w:name="_Toc140746121"/>
      <w:r w:rsidRPr="00400D62">
        <w:t xml:space="preserve">Police Scotland Quarter </w:t>
      </w:r>
      <w:r>
        <w:t>3</w:t>
      </w:r>
      <w:r w:rsidRPr="00400D62">
        <w:t xml:space="preserve"> YTD Performance Report: April to </w:t>
      </w:r>
      <w:r>
        <w:t>Dece</w:t>
      </w:r>
      <w:r w:rsidRPr="00400D62">
        <w:t>mber 2023</w:t>
      </w:r>
      <w:bookmarkEnd w:id="0"/>
      <w:bookmarkEnd w:id="1"/>
    </w:p>
    <w:bookmarkEnd w:id="2" w:displacedByCustomXml="next"/>
    <w:bookmarkStart w:id="3" w:name="_Hlk150507707" w:displacedByCustomXml="next"/>
    <w:bookmarkStart w:id="4" w:name="_Toc77150407" w:displacedByCustomXml="next"/>
    <w:sdt>
      <w:sdtPr>
        <w:rPr>
          <w:rFonts w:ascii="Arial" w:eastAsiaTheme="minorHAnsi" w:hAnsi="Arial" w:cstheme="minorBidi"/>
          <w:color w:val="auto"/>
          <w:sz w:val="24"/>
          <w:szCs w:val="24"/>
          <w:lang w:val="en-GB"/>
        </w:rPr>
        <w:id w:val="351846396"/>
        <w:docPartObj>
          <w:docPartGallery w:val="Table of Contents"/>
          <w:docPartUnique/>
        </w:docPartObj>
      </w:sdtPr>
      <w:sdtEndPr>
        <w:rPr>
          <w:b/>
          <w:bCs/>
        </w:rPr>
      </w:sdtEndPr>
      <w:sdtContent>
        <w:p w14:paraId="3C0066A1" w14:textId="59220DE8" w:rsidR="00D50A08" w:rsidRDefault="00D50A08">
          <w:pPr>
            <w:pStyle w:val="TOCHeading"/>
          </w:pPr>
          <w:r>
            <w:rPr>
              <w:lang w:val="en-GB"/>
            </w:rPr>
            <w:t>Contents</w:t>
          </w:r>
        </w:p>
        <w:p w14:paraId="0D3EF487" w14:textId="2C412FCC" w:rsidR="00CF2C5A" w:rsidRDefault="00D50A08">
          <w:pPr>
            <w:pStyle w:val="TOC3"/>
            <w:tabs>
              <w:tab w:val="right" w:leader="dot" w:pos="9736"/>
            </w:tabs>
            <w:rPr>
              <w:rFonts w:asciiTheme="minorHAnsi" w:eastAsiaTheme="minorEastAsia" w:hAnsiTheme="minorHAnsi"/>
              <w:noProof/>
              <w:sz w:val="22"/>
              <w:szCs w:val="22"/>
              <w:lang w:eastAsia="en-GB"/>
            </w:rPr>
          </w:pPr>
          <w:r>
            <w:fldChar w:fldCharType="begin"/>
          </w:r>
          <w:r>
            <w:instrText xml:space="preserve"> TOC \o "1-3" \h \z \u </w:instrText>
          </w:r>
          <w:r>
            <w:fldChar w:fldCharType="separate"/>
          </w:r>
          <w:hyperlink w:anchor="_Toc158895837" w:history="1">
            <w:r w:rsidR="00CF2C5A" w:rsidRPr="009B4CD4">
              <w:rPr>
                <w:rStyle w:val="Hyperlink"/>
                <w:noProof/>
              </w:rPr>
              <w:t>Introduction by the Deputy Chief Constable</w:t>
            </w:r>
            <w:r w:rsidR="00CF2C5A">
              <w:rPr>
                <w:noProof/>
                <w:webHidden/>
              </w:rPr>
              <w:tab/>
            </w:r>
            <w:r w:rsidR="00CF2C5A">
              <w:rPr>
                <w:noProof/>
                <w:webHidden/>
              </w:rPr>
              <w:fldChar w:fldCharType="begin"/>
            </w:r>
            <w:r w:rsidR="00CF2C5A">
              <w:rPr>
                <w:noProof/>
                <w:webHidden/>
              </w:rPr>
              <w:instrText xml:space="preserve"> PAGEREF _Toc158895837 \h </w:instrText>
            </w:r>
            <w:r w:rsidR="00CF2C5A">
              <w:rPr>
                <w:noProof/>
                <w:webHidden/>
              </w:rPr>
            </w:r>
            <w:r w:rsidR="00CF2C5A">
              <w:rPr>
                <w:noProof/>
                <w:webHidden/>
              </w:rPr>
              <w:fldChar w:fldCharType="separate"/>
            </w:r>
            <w:r w:rsidR="00FF1713">
              <w:rPr>
                <w:noProof/>
                <w:webHidden/>
              </w:rPr>
              <w:t>2</w:t>
            </w:r>
            <w:r w:rsidR="00CF2C5A">
              <w:rPr>
                <w:noProof/>
                <w:webHidden/>
              </w:rPr>
              <w:fldChar w:fldCharType="end"/>
            </w:r>
          </w:hyperlink>
        </w:p>
        <w:p w14:paraId="4337A7CC" w14:textId="7EFAF8EF" w:rsidR="00CF2C5A" w:rsidRDefault="00550FC8">
          <w:pPr>
            <w:pStyle w:val="TOC3"/>
            <w:tabs>
              <w:tab w:val="right" w:leader="dot" w:pos="9736"/>
            </w:tabs>
            <w:rPr>
              <w:rFonts w:asciiTheme="minorHAnsi" w:eastAsiaTheme="minorEastAsia" w:hAnsiTheme="minorHAnsi"/>
              <w:noProof/>
              <w:sz w:val="22"/>
              <w:szCs w:val="22"/>
              <w:lang w:eastAsia="en-GB"/>
            </w:rPr>
          </w:pPr>
          <w:hyperlink w:anchor="_Toc158895838" w:history="1">
            <w:r w:rsidR="00CF2C5A" w:rsidRPr="009B4CD4">
              <w:rPr>
                <w:rStyle w:val="Hyperlink"/>
                <w:noProof/>
              </w:rPr>
              <w:t>Executive Summary</w:t>
            </w:r>
            <w:r w:rsidR="00CF2C5A">
              <w:rPr>
                <w:noProof/>
                <w:webHidden/>
              </w:rPr>
              <w:tab/>
            </w:r>
            <w:r w:rsidR="00CF2C5A">
              <w:rPr>
                <w:noProof/>
                <w:webHidden/>
              </w:rPr>
              <w:fldChar w:fldCharType="begin"/>
            </w:r>
            <w:r w:rsidR="00CF2C5A">
              <w:rPr>
                <w:noProof/>
                <w:webHidden/>
              </w:rPr>
              <w:instrText xml:space="preserve"> PAGEREF _Toc158895838 \h </w:instrText>
            </w:r>
            <w:r w:rsidR="00CF2C5A">
              <w:rPr>
                <w:noProof/>
                <w:webHidden/>
              </w:rPr>
            </w:r>
            <w:r w:rsidR="00CF2C5A">
              <w:rPr>
                <w:noProof/>
                <w:webHidden/>
              </w:rPr>
              <w:fldChar w:fldCharType="separate"/>
            </w:r>
            <w:r w:rsidR="00FF1713">
              <w:rPr>
                <w:noProof/>
                <w:webHidden/>
              </w:rPr>
              <w:t>3</w:t>
            </w:r>
            <w:r w:rsidR="00CF2C5A">
              <w:rPr>
                <w:noProof/>
                <w:webHidden/>
              </w:rPr>
              <w:fldChar w:fldCharType="end"/>
            </w:r>
          </w:hyperlink>
        </w:p>
        <w:p w14:paraId="492D2542" w14:textId="3405462D" w:rsidR="00CF2C5A" w:rsidRDefault="00550FC8">
          <w:pPr>
            <w:pStyle w:val="TOC3"/>
            <w:tabs>
              <w:tab w:val="right" w:leader="dot" w:pos="9736"/>
            </w:tabs>
            <w:rPr>
              <w:rFonts w:asciiTheme="minorHAnsi" w:eastAsiaTheme="minorEastAsia" w:hAnsiTheme="minorHAnsi"/>
              <w:noProof/>
              <w:sz w:val="22"/>
              <w:szCs w:val="22"/>
              <w:lang w:eastAsia="en-GB"/>
            </w:rPr>
          </w:pPr>
          <w:hyperlink w:anchor="_Toc158895839" w:history="1">
            <w:r w:rsidR="00CF2C5A" w:rsidRPr="009B4CD4">
              <w:rPr>
                <w:rStyle w:val="Hyperlink"/>
                <w:noProof/>
              </w:rPr>
              <w:t>Performance Framework Outcomes and Objectives</w:t>
            </w:r>
            <w:r w:rsidR="00CF2C5A">
              <w:rPr>
                <w:noProof/>
                <w:webHidden/>
              </w:rPr>
              <w:tab/>
            </w:r>
            <w:r w:rsidR="00CF2C5A">
              <w:rPr>
                <w:noProof/>
                <w:webHidden/>
              </w:rPr>
              <w:fldChar w:fldCharType="begin"/>
            </w:r>
            <w:r w:rsidR="00CF2C5A">
              <w:rPr>
                <w:noProof/>
                <w:webHidden/>
              </w:rPr>
              <w:instrText xml:space="preserve"> PAGEREF _Toc158895839 \h </w:instrText>
            </w:r>
            <w:r w:rsidR="00CF2C5A">
              <w:rPr>
                <w:noProof/>
                <w:webHidden/>
              </w:rPr>
            </w:r>
            <w:r w:rsidR="00CF2C5A">
              <w:rPr>
                <w:noProof/>
                <w:webHidden/>
              </w:rPr>
              <w:fldChar w:fldCharType="separate"/>
            </w:r>
            <w:r w:rsidR="00FF1713">
              <w:rPr>
                <w:noProof/>
                <w:webHidden/>
              </w:rPr>
              <w:t>6</w:t>
            </w:r>
            <w:r w:rsidR="00CF2C5A">
              <w:rPr>
                <w:noProof/>
                <w:webHidden/>
              </w:rPr>
              <w:fldChar w:fldCharType="end"/>
            </w:r>
          </w:hyperlink>
        </w:p>
        <w:p w14:paraId="63FB413F" w14:textId="2B7891A8" w:rsidR="00CF2C5A" w:rsidRDefault="00550FC8">
          <w:pPr>
            <w:pStyle w:val="TOC3"/>
            <w:tabs>
              <w:tab w:val="right" w:leader="dot" w:pos="9736"/>
            </w:tabs>
            <w:rPr>
              <w:rFonts w:asciiTheme="minorHAnsi" w:eastAsiaTheme="minorEastAsia" w:hAnsiTheme="minorHAnsi"/>
              <w:noProof/>
              <w:sz w:val="22"/>
              <w:szCs w:val="22"/>
              <w:lang w:eastAsia="en-GB"/>
            </w:rPr>
          </w:pPr>
          <w:hyperlink w:anchor="_Toc158895840" w:history="1">
            <w:r w:rsidR="00CF2C5A" w:rsidRPr="009B4CD4">
              <w:rPr>
                <w:rStyle w:val="Hyperlink"/>
                <w:noProof/>
              </w:rPr>
              <w:t>Measures of Progress towards Strategic Outcomes - Insights and Exceptions</w:t>
            </w:r>
            <w:r w:rsidR="00CF2C5A">
              <w:rPr>
                <w:noProof/>
                <w:webHidden/>
              </w:rPr>
              <w:tab/>
            </w:r>
            <w:r w:rsidR="00CF2C5A">
              <w:rPr>
                <w:noProof/>
                <w:webHidden/>
              </w:rPr>
              <w:fldChar w:fldCharType="begin"/>
            </w:r>
            <w:r w:rsidR="00CF2C5A">
              <w:rPr>
                <w:noProof/>
                <w:webHidden/>
              </w:rPr>
              <w:instrText xml:space="preserve"> PAGEREF _Toc158895840 \h </w:instrText>
            </w:r>
            <w:r w:rsidR="00CF2C5A">
              <w:rPr>
                <w:noProof/>
                <w:webHidden/>
              </w:rPr>
            </w:r>
            <w:r w:rsidR="00CF2C5A">
              <w:rPr>
                <w:noProof/>
                <w:webHidden/>
              </w:rPr>
              <w:fldChar w:fldCharType="separate"/>
            </w:r>
            <w:r w:rsidR="00FF1713">
              <w:rPr>
                <w:noProof/>
                <w:webHidden/>
              </w:rPr>
              <w:t>7</w:t>
            </w:r>
            <w:r w:rsidR="00CF2C5A">
              <w:rPr>
                <w:noProof/>
                <w:webHidden/>
              </w:rPr>
              <w:fldChar w:fldCharType="end"/>
            </w:r>
          </w:hyperlink>
        </w:p>
        <w:p w14:paraId="3902F9C9" w14:textId="5A77210E" w:rsidR="00CF2C5A" w:rsidRDefault="00550FC8">
          <w:pPr>
            <w:pStyle w:val="TOC3"/>
            <w:tabs>
              <w:tab w:val="right" w:leader="dot" w:pos="9736"/>
            </w:tabs>
            <w:rPr>
              <w:rFonts w:asciiTheme="minorHAnsi" w:eastAsiaTheme="minorEastAsia" w:hAnsiTheme="minorHAnsi"/>
              <w:noProof/>
              <w:sz w:val="22"/>
              <w:szCs w:val="22"/>
              <w:lang w:eastAsia="en-GB"/>
            </w:rPr>
          </w:pPr>
          <w:hyperlink w:anchor="_Toc158895841" w:history="1">
            <w:r w:rsidR="00CF2C5A" w:rsidRPr="009B4CD4">
              <w:rPr>
                <w:rStyle w:val="Hyperlink"/>
                <w:noProof/>
              </w:rPr>
              <w:t>Strategic Outcome 1</w:t>
            </w:r>
            <w:r w:rsidR="00CF2C5A">
              <w:rPr>
                <w:noProof/>
                <w:webHidden/>
              </w:rPr>
              <w:tab/>
            </w:r>
            <w:r w:rsidR="00CF2C5A">
              <w:rPr>
                <w:noProof/>
                <w:webHidden/>
              </w:rPr>
              <w:fldChar w:fldCharType="begin"/>
            </w:r>
            <w:r w:rsidR="00CF2C5A">
              <w:rPr>
                <w:noProof/>
                <w:webHidden/>
              </w:rPr>
              <w:instrText xml:space="preserve"> PAGEREF _Toc158895841 \h </w:instrText>
            </w:r>
            <w:r w:rsidR="00CF2C5A">
              <w:rPr>
                <w:noProof/>
                <w:webHidden/>
              </w:rPr>
            </w:r>
            <w:r w:rsidR="00CF2C5A">
              <w:rPr>
                <w:noProof/>
                <w:webHidden/>
              </w:rPr>
              <w:fldChar w:fldCharType="separate"/>
            </w:r>
            <w:r w:rsidR="00FF1713">
              <w:rPr>
                <w:noProof/>
                <w:webHidden/>
              </w:rPr>
              <w:t>7</w:t>
            </w:r>
            <w:r w:rsidR="00CF2C5A">
              <w:rPr>
                <w:noProof/>
                <w:webHidden/>
              </w:rPr>
              <w:fldChar w:fldCharType="end"/>
            </w:r>
          </w:hyperlink>
        </w:p>
        <w:p w14:paraId="42355D13" w14:textId="25832FAD" w:rsidR="00CF2C5A" w:rsidRDefault="00550FC8">
          <w:pPr>
            <w:pStyle w:val="TOC3"/>
            <w:tabs>
              <w:tab w:val="right" w:leader="dot" w:pos="9736"/>
            </w:tabs>
            <w:rPr>
              <w:rFonts w:asciiTheme="minorHAnsi" w:eastAsiaTheme="minorEastAsia" w:hAnsiTheme="minorHAnsi"/>
              <w:noProof/>
              <w:sz w:val="22"/>
              <w:szCs w:val="22"/>
              <w:lang w:eastAsia="en-GB"/>
            </w:rPr>
          </w:pPr>
          <w:hyperlink w:anchor="_Toc158895842" w:history="1">
            <w:r w:rsidR="00CF2C5A" w:rsidRPr="009B4CD4">
              <w:rPr>
                <w:rStyle w:val="Hyperlink"/>
                <w:noProof/>
              </w:rPr>
              <w:t>Strategic Outcome 2</w:t>
            </w:r>
            <w:r w:rsidR="00CF2C5A">
              <w:rPr>
                <w:noProof/>
                <w:webHidden/>
              </w:rPr>
              <w:tab/>
            </w:r>
            <w:r w:rsidR="00CF2C5A">
              <w:rPr>
                <w:noProof/>
                <w:webHidden/>
              </w:rPr>
              <w:fldChar w:fldCharType="begin"/>
            </w:r>
            <w:r w:rsidR="00CF2C5A">
              <w:rPr>
                <w:noProof/>
                <w:webHidden/>
              </w:rPr>
              <w:instrText xml:space="preserve"> PAGEREF _Toc158895842 \h </w:instrText>
            </w:r>
            <w:r w:rsidR="00CF2C5A">
              <w:rPr>
                <w:noProof/>
                <w:webHidden/>
              </w:rPr>
            </w:r>
            <w:r w:rsidR="00CF2C5A">
              <w:rPr>
                <w:noProof/>
                <w:webHidden/>
              </w:rPr>
              <w:fldChar w:fldCharType="separate"/>
            </w:r>
            <w:r w:rsidR="00FF1713">
              <w:rPr>
                <w:noProof/>
                <w:webHidden/>
              </w:rPr>
              <w:t>22</w:t>
            </w:r>
            <w:r w:rsidR="00CF2C5A">
              <w:rPr>
                <w:noProof/>
                <w:webHidden/>
              </w:rPr>
              <w:fldChar w:fldCharType="end"/>
            </w:r>
          </w:hyperlink>
        </w:p>
        <w:p w14:paraId="14407F91" w14:textId="09C6F710" w:rsidR="00CF2C5A" w:rsidRDefault="00550FC8">
          <w:pPr>
            <w:pStyle w:val="TOC3"/>
            <w:tabs>
              <w:tab w:val="right" w:leader="dot" w:pos="9736"/>
            </w:tabs>
            <w:rPr>
              <w:rFonts w:asciiTheme="minorHAnsi" w:eastAsiaTheme="minorEastAsia" w:hAnsiTheme="minorHAnsi"/>
              <w:noProof/>
              <w:sz w:val="22"/>
              <w:szCs w:val="22"/>
              <w:lang w:eastAsia="en-GB"/>
            </w:rPr>
          </w:pPr>
          <w:hyperlink w:anchor="_Toc158895843" w:history="1">
            <w:r w:rsidR="00CF2C5A" w:rsidRPr="009B4CD4">
              <w:rPr>
                <w:rStyle w:val="Hyperlink"/>
                <w:noProof/>
              </w:rPr>
              <w:t>Strategic Outcome 3</w:t>
            </w:r>
            <w:r w:rsidR="00CF2C5A">
              <w:rPr>
                <w:noProof/>
                <w:webHidden/>
              </w:rPr>
              <w:tab/>
            </w:r>
            <w:r w:rsidR="00CF2C5A">
              <w:rPr>
                <w:noProof/>
                <w:webHidden/>
              </w:rPr>
              <w:fldChar w:fldCharType="begin"/>
            </w:r>
            <w:r w:rsidR="00CF2C5A">
              <w:rPr>
                <w:noProof/>
                <w:webHidden/>
              </w:rPr>
              <w:instrText xml:space="preserve"> PAGEREF _Toc158895843 \h </w:instrText>
            </w:r>
            <w:r w:rsidR="00CF2C5A">
              <w:rPr>
                <w:noProof/>
                <w:webHidden/>
              </w:rPr>
            </w:r>
            <w:r w:rsidR="00CF2C5A">
              <w:rPr>
                <w:noProof/>
                <w:webHidden/>
              </w:rPr>
              <w:fldChar w:fldCharType="separate"/>
            </w:r>
            <w:r w:rsidR="00FF1713">
              <w:rPr>
                <w:noProof/>
                <w:webHidden/>
              </w:rPr>
              <w:t>39</w:t>
            </w:r>
            <w:r w:rsidR="00CF2C5A">
              <w:rPr>
                <w:noProof/>
                <w:webHidden/>
              </w:rPr>
              <w:fldChar w:fldCharType="end"/>
            </w:r>
          </w:hyperlink>
        </w:p>
        <w:p w14:paraId="096A931A" w14:textId="2D18F524" w:rsidR="00CF2C5A" w:rsidRDefault="00550FC8">
          <w:pPr>
            <w:pStyle w:val="TOC3"/>
            <w:tabs>
              <w:tab w:val="right" w:leader="dot" w:pos="9736"/>
            </w:tabs>
            <w:rPr>
              <w:rFonts w:asciiTheme="minorHAnsi" w:eastAsiaTheme="minorEastAsia" w:hAnsiTheme="minorHAnsi"/>
              <w:noProof/>
              <w:sz w:val="22"/>
              <w:szCs w:val="22"/>
              <w:lang w:eastAsia="en-GB"/>
            </w:rPr>
          </w:pPr>
          <w:hyperlink w:anchor="_Toc158895844" w:history="1">
            <w:r w:rsidR="00CF2C5A" w:rsidRPr="009B4CD4">
              <w:rPr>
                <w:rStyle w:val="Hyperlink"/>
                <w:noProof/>
              </w:rPr>
              <w:t>Strategic Outcome 4</w:t>
            </w:r>
            <w:r w:rsidR="00CF2C5A">
              <w:rPr>
                <w:noProof/>
                <w:webHidden/>
              </w:rPr>
              <w:tab/>
            </w:r>
            <w:r w:rsidR="00CF2C5A">
              <w:rPr>
                <w:noProof/>
                <w:webHidden/>
              </w:rPr>
              <w:fldChar w:fldCharType="begin"/>
            </w:r>
            <w:r w:rsidR="00CF2C5A">
              <w:rPr>
                <w:noProof/>
                <w:webHidden/>
              </w:rPr>
              <w:instrText xml:space="preserve"> PAGEREF _Toc158895844 \h </w:instrText>
            </w:r>
            <w:r w:rsidR="00CF2C5A">
              <w:rPr>
                <w:noProof/>
                <w:webHidden/>
              </w:rPr>
            </w:r>
            <w:r w:rsidR="00CF2C5A">
              <w:rPr>
                <w:noProof/>
                <w:webHidden/>
              </w:rPr>
              <w:fldChar w:fldCharType="separate"/>
            </w:r>
            <w:r w:rsidR="00FF1713">
              <w:rPr>
                <w:noProof/>
                <w:webHidden/>
              </w:rPr>
              <w:t>44</w:t>
            </w:r>
            <w:r w:rsidR="00CF2C5A">
              <w:rPr>
                <w:noProof/>
                <w:webHidden/>
              </w:rPr>
              <w:fldChar w:fldCharType="end"/>
            </w:r>
          </w:hyperlink>
        </w:p>
        <w:p w14:paraId="589A137A" w14:textId="57034A31" w:rsidR="00CF2C5A" w:rsidRDefault="00550FC8">
          <w:pPr>
            <w:pStyle w:val="TOC3"/>
            <w:tabs>
              <w:tab w:val="right" w:leader="dot" w:pos="9736"/>
            </w:tabs>
            <w:rPr>
              <w:rFonts w:asciiTheme="minorHAnsi" w:eastAsiaTheme="minorEastAsia" w:hAnsiTheme="minorHAnsi"/>
              <w:noProof/>
              <w:sz w:val="22"/>
              <w:szCs w:val="22"/>
              <w:lang w:eastAsia="en-GB"/>
            </w:rPr>
          </w:pPr>
          <w:hyperlink w:anchor="_Toc158895845" w:history="1">
            <w:r w:rsidR="00CF2C5A" w:rsidRPr="009B4CD4">
              <w:rPr>
                <w:rStyle w:val="Hyperlink"/>
                <w:noProof/>
              </w:rPr>
              <w:t>Strategic Outcome 5</w:t>
            </w:r>
            <w:r w:rsidR="00CF2C5A">
              <w:rPr>
                <w:noProof/>
                <w:webHidden/>
              </w:rPr>
              <w:tab/>
            </w:r>
            <w:r w:rsidR="00CF2C5A">
              <w:rPr>
                <w:noProof/>
                <w:webHidden/>
              </w:rPr>
              <w:fldChar w:fldCharType="begin"/>
            </w:r>
            <w:r w:rsidR="00CF2C5A">
              <w:rPr>
                <w:noProof/>
                <w:webHidden/>
              </w:rPr>
              <w:instrText xml:space="preserve"> PAGEREF _Toc158895845 \h </w:instrText>
            </w:r>
            <w:r w:rsidR="00CF2C5A">
              <w:rPr>
                <w:noProof/>
                <w:webHidden/>
              </w:rPr>
            </w:r>
            <w:r w:rsidR="00CF2C5A">
              <w:rPr>
                <w:noProof/>
                <w:webHidden/>
              </w:rPr>
              <w:fldChar w:fldCharType="separate"/>
            </w:r>
            <w:r w:rsidR="00FF1713">
              <w:rPr>
                <w:noProof/>
                <w:webHidden/>
              </w:rPr>
              <w:t>49</w:t>
            </w:r>
            <w:r w:rsidR="00CF2C5A">
              <w:rPr>
                <w:noProof/>
                <w:webHidden/>
              </w:rPr>
              <w:fldChar w:fldCharType="end"/>
            </w:r>
          </w:hyperlink>
        </w:p>
        <w:p w14:paraId="766DF4C5" w14:textId="4453AD09" w:rsidR="00D50A08" w:rsidRDefault="00D50A08">
          <w:r>
            <w:rPr>
              <w:b/>
              <w:bCs/>
            </w:rPr>
            <w:fldChar w:fldCharType="end"/>
          </w:r>
        </w:p>
      </w:sdtContent>
    </w:sdt>
    <w:p w14:paraId="3FA6C79B" w14:textId="77777777" w:rsidR="00BB2986" w:rsidRDefault="00BB2986" w:rsidP="00BB2986">
      <w:pPr>
        <w:spacing w:before="240" w:after="0"/>
      </w:pPr>
    </w:p>
    <w:p w14:paraId="633466CE" w14:textId="77777777" w:rsidR="00BB2986" w:rsidRDefault="00BB2986" w:rsidP="00BB2986">
      <w:pPr>
        <w:spacing w:before="240" w:after="0"/>
      </w:pPr>
    </w:p>
    <w:p w14:paraId="29A474A7" w14:textId="77777777" w:rsidR="00BB2986" w:rsidRDefault="00BB2986" w:rsidP="00BB2986">
      <w:pPr>
        <w:spacing w:before="240" w:after="0"/>
      </w:pPr>
    </w:p>
    <w:p w14:paraId="3C845C51" w14:textId="77777777" w:rsidR="00BB2986" w:rsidRDefault="00BB2986" w:rsidP="00BB2986">
      <w:pPr>
        <w:spacing w:before="240" w:after="0"/>
      </w:pPr>
    </w:p>
    <w:p w14:paraId="07327728" w14:textId="77777777" w:rsidR="00BB2986" w:rsidRDefault="00BB2986" w:rsidP="00BB2986">
      <w:pPr>
        <w:spacing w:before="240" w:after="0"/>
      </w:pPr>
    </w:p>
    <w:p w14:paraId="5D0618AD" w14:textId="3CD66020" w:rsidR="00BB2986" w:rsidRDefault="00BB2986" w:rsidP="00BB2986">
      <w:pPr>
        <w:spacing w:before="240" w:after="0"/>
      </w:pPr>
      <w:r>
        <w:t>This is the 2023/24 Q3 performance report covering the period 01 April to 31 December 2023. All data is correct at the published date and was extracted at the start of January 2024. The data is extracted from Police Scotland internal systems which are dynamic and continuously updated as investigations progress.</w:t>
      </w:r>
    </w:p>
    <w:p w14:paraId="4DED922B" w14:textId="198EA783" w:rsidR="00BB2986" w:rsidRDefault="00BB2986" w:rsidP="00BB2986">
      <w:pPr>
        <w:spacing w:before="240" w:after="0"/>
      </w:pPr>
      <w:r>
        <w:t xml:space="preserve">This report contains the most up to date recorded crime data that was available at the start of January 2024 for Quarter 3 of the reporting year 2023/24. Further detailed Police Scotland Management Information can be found here: </w:t>
      </w:r>
      <w:hyperlink r:id="rId12" w:history="1">
        <w:r w:rsidRPr="008F779B">
          <w:rPr>
            <w:rStyle w:val="Hyperlink"/>
          </w:rPr>
          <w:t>https://www.scotland.police.uk/about-us/what-we-do/how-we-are-performing/</w:t>
        </w:r>
      </w:hyperlink>
    </w:p>
    <w:p w14:paraId="6D79E26C" w14:textId="5A23CC69" w:rsidR="009C3E2A" w:rsidRDefault="009C3E2A" w:rsidP="008F779B">
      <w:pPr>
        <w:spacing w:before="240" w:after="0"/>
        <w:rPr>
          <w:rFonts w:eastAsiaTheme="majorEastAsia" w:cstheme="majorBidi"/>
          <w:b/>
          <w:color w:val="000000" w:themeColor="text1"/>
          <w:sz w:val="32"/>
          <w:szCs w:val="26"/>
        </w:rPr>
      </w:pPr>
      <w:r>
        <w:br w:type="page"/>
      </w:r>
    </w:p>
    <w:p w14:paraId="79CEEC3D" w14:textId="33D5504E" w:rsidR="00004A36" w:rsidRDefault="00D12BB1" w:rsidP="00B453C4">
      <w:pPr>
        <w:pStyle w:val="Heading3"/>
      </w:pPr>
      <w:bookmarkStart w:id="5" w:name="_Toc140746122"/>
      <w:bookmarkStart w:id="6" w:name="_Toc140750236"/>
      <w:bookmarkStart w:id="7" w:name="_Toc142045253"/>
      <w:bookmarkStart w:id="8" w:name="_Toc157687358"/>
      <w:bookmarkStart w:id="9" w:name="_Toc157696602"/>
      <w:bookmarkStart w:id="10" w:name="_Toc158895837"/>
      <w:bookmarkEnd w:id="3"/>
      <w:r w:rsidRPr="00D12BB1">
        <w:lastRenderedPageBreak/>
        <w:t>Introduction by the Deputy Chief Constable</w:t>
      </w:r>
      <w:bookmarkEnd w:id="5"/>
      <w:bookmarkEnd w:id="6"/>
      <w:bookmarkEnd w:id="7"/>
      <w:bookmarkEnd w:id="8"/>
      <w:bookmarkEnd w:id="9"/>
      <w:bookmarkEnd w:id="10"/>
      <w:bookmarkEnd w:id="4"/>
    </w:p>
    <w:p w14:paraId="7E5CB773" w14:textId="77777777" w:rsidR="00EE3112" w:rsidRPr="009D7613" w:rsidRDefault="00EE3112" w:rsidP="00EE3112">
      <w:pPr>
        <w:rPr>
          <w:rFonts w:cs="Arial"/>
        </w:rPr>
      </w:pPr>
      <w:r w:rsidRPr="009D7613">
        <w:rPr>
          <w:rFonts w:cs="Arial"/>
        </w:rPr>
        <w:t>Our 2023/24 Quarter 3 Performance Report illustrates that policing continues to respond to increased levels of community need, driven by vulnerability and increased complexity.</w:t>
      </w:r>
    </w:p>
    <w:p w14:paraId="45F6B2B5" w14:textId="77777777" w:rsidR="00EE3112" w:rsidRPr="009D7613" w:rsidRDefault="00EE3112" w:rsidP="00EE3112">
      <w:pPr>
        <w:rPr>
          <w:rFonts w:cs="Arial"/>
        </w:rPr>
      </w:pPr>
      <w:r w:rsidRPr="009D7613">
        <w:rPr>
          <w:rFonts w:cs="Arial"/>
        </w:rPr>
        <w:t>During the reporting period we received</w:t>
      </w:r>
      <w:r>
        <w:rPr>
          <w:rFonts w:cs="Arial"/>
        </w:rPr>
        <w:t xml:space="preserve"> more than 1.6 million calls to our control rooms, with the number of 999 calls received increasing by almost 15%. As the public would expect, </w:t>
      </w:r>
      <w:r w:rsidRPr="009D7613">
        <w:rPr>
          <w:rFonts w:cs="Arial"/>
        </w:rPr>
        <w:t xml:space="preserve">Police Scotland prioritises 999 emergency calls, </w:t>
      </w:r>
      <w:r>
        <w:rPr>
          <w:rFonts w:cs="Arial"/>
        </w:rPr>
        <w:t xml:space="preserve">meaning callers have experienced </w:t>
      </w:r>
      <w:r w:rsidRPr="009D7613">
        <w:rPr>
          <w:rFonts w:cs="Arial"/>
        </w:rPr>
        <w:t>longer waiting time</w:t>
      </w:r>
      <w:r>
        <w:rPr>
          <w:rFonts w:cs="Arial"/>
        </w:rPr>
        <w:t>s</w:t>
      </w:r>
      <w:r w:rsidRPr="009D7613">
        <w:rPr>
          <w:rFonts w:cs="Arial"/>
        </w:rPr>
        <w:t xml:space="preserve"> for 101 non-emergency calls.</w:t>
      </w:r>
    </w:p>
    <w:p w14:paraId="2432B461" w14:textId="77777777" w:rsidR="00EE3112" w:rsidRPr="009D7613" w:rsidRDefault="00EE3112" w:rsidP="00EE3112">
      <w:pPr>
        <w:rPr>
          <w:rFonts w:cs="Arial"/>
        </w:rPr>
      </w:pPr>
      <w:r w:rsidRPr="009D7613">
        <w:rPr>
          <w:rFonts w:cs="Arial"/>
        </w:rPr>
        <w:t>During the reporting period</w:t>
      </w:r>
      <w:r>
        <w:rPr>
          <w:rFonts w:cs="Arial"/>
        </w:rPr>
        <w:t xml:space="preserve"> reports of</w:t>
      </w:r>
      <w:r w:rsidRPr="009D7613">
        <w:rPr>
          <w:rFonts w:cs="Arial"/>
        </w:rPr>
        <w:t xml:space="preserve"> violent crime</w:t>
      </w:r>
      <w:r>
        <w:rPr>
          <w:rFonts w:cs="Arial"/>
        </w:rPr>
        <w:t xml:space="preserve"> increased</w:t>
      </w:r>
      <w:r w:rsidRPr="009D7613">
        <w:rPr>
          <w:rFonts w:cs="Arial"/>
        </w:rPr>
        <w:t xml:space="preserve">, driven by </w:t>
      </w:r>
      <w:r>
        <w:rPr>
          <w:rFonts w:cs="Arial"/>
        </w:rPr>
        <w:t>r</w:t>
      </w:r>
      <w:r w:rsidRPr="009D7613">
        <w:rPr>
          <w:rFonts w:cs="Arial"/>
        </w:rPr>
        <w:t>obberies and common assaults</w:t>
      </w:r>
      <w:r>
        <w:rPr>
          <w:rFonts w:cs="Arial"/>
        </w:rPr>
        <w:t xml:space="preserve">. </w:t>
      </w:r>
      <w:r w:rsidRPr="009D7613">
        <w:rPr>
          <w:rFonts w:cs="Arial"/>
        </w:rPr>
        <w:t xml:space="preserve">Overall, </w:t>
      </w:r>
      <w:r>
        <w:rPr>
          <w:rFonts w:cs="Arial"/>
        </w:rPr>
        <w:t xml:space="preserve">reported </w:t>
      </w:r>
      <w:r w:rsidRPr="009D7613">
        <w:rPr>
          <w:rFonts w:cs="Arial"/>
        </w:rPr>
        <w:t>homicides, attempted murders and serious assaults recorded remain</w:t>
      </w:r>
      <w:r>
        <w:rPr>
          <w:rFonts w:cs="Arial"/>
        </w:rPr>
        <w:t xml:space="preserve">ed </w:t>
      </w:r>
      <w:r w:rsidRPr="009D7613">
        <w:rPr>
          <w:rFonts w:cs="Arial"/>
        </w:rPr>
        <w:t>at similar levels to previous years and</w:t>
      </w:r>
      <w:r>
        <w:rPr>
          <w:rFonts w:cs="Arial"/>
        </w:rPr>
        <w:t xml:space="preserve"> our </w:t>
      </w:r>
      <w:r w:rsidRPr="009D7613">
        <w:rPr>
          <w:rFonts w:cs="Arial"/>
        </w:rPr>
        <w:t>leading detection rate for homicides continues.</w:t>
      </w:r>
    </w:p>
    <w:p w14:paraId="483EB2EC" w14:textId="77777777" w:rsidR="00EE3112" w:rsidRPr="009D7613" w:rsidRDefault="00EE3112" w:rsidP="00EE3112">
      <w:pPr>
        <w:rPr>
          <w:rFonts w:cs="Arial"/>
        </w:rPr>
      </w:pPr>
      <w:r w:rsidRPr="009D7613">
        <w:rPr>
          <w:rFonts w:cs="Arial"/>
        </w:rPr>
        <w:t>The</w:t>
      </w:r>
      <w:r>
        <w:rPr>
          <w:rFonts w:cs="Arial"/>
        </w:rPr>
        <w:t xml:space="preserve"> number of </w:t>
      </w:r>
      <w:r w:rsidRPr="009D7613">
        <w:rPr>
          <w:rFonts w:cs="Arial"/>
        </w:rPr>
        <w:t>non-sexual crimes of violence</w:t>
      </w:r>
      <w:r>
        <w:rPr>
          <w:rFonts w:cs="Arial"/>
        </w:rPr>
        <w:t xml:space="preserve"> </w:t>
      </w:r>
      <w:r w:rsidRPr="009D7613">
        <w:rPr>
          <w:rFonts w:cs="Arial"/>
        </w:rPr>
        <w:t>increase</w:t>
      </w:r>
      <w:r>
        <w:rPr>
          <w:rFonts w:cs="Arial"/>
        </w:rPr>
        <w:t>d</w:t>
      </w:r>
      <w:r w:rsidRPr="009D7613">
        <w:rPr>
          <w:rFonts w:cs="Arial"/>
        </w:rPr>
        <w:t xml:space="preserve">, </w:t>
      </w:r>
      <w:r>
        <w:rPr>
          <w:rFonts w:cs="Arial"/>
        </w:rPr>
        <w:t xml:space="preserve">driven by </w:t>
      </w:r>
      <w:r w:rsidRPr="009D7613">
        <w:rPr>
          <w:rFonts w:cs="Arial"/>
        </w:rPr>
        <w:t>the number of threats and extortions and drugging crimes</w:t>
      </w:r>
      <w:r>
        <w:rPr>
          <w:rFonts w:cs="Arial"/>
        </w:rPr>
        <w:t>.</w:t>
      </w:r>
    </w:p>
    <w:p w14:paraId="2862DEBA" w14:textId="77777777" w:rsidR="00EE3112" w:rsidRDefault="00EE3112" w:rsidP="00EE3112">
      <w:pPr>
        <w:rPr>
          <w:rFonts w:cs="Arial"/>
        </w:rPr>
      </w:pPr>
      <w:r>
        <w:rPr>
          <w:rFonts w:cs="Arial"/>
        </w:rPr>
        <w:t>The r</w:t>
      </w:r>
      <w:r w:rsidRPr="009D7613">
        <w:rPr>
          <w:rFonts w:cs="Arial"/>
        </w:rPr>
        <w:t xml:space="preserve">eport highlights the </w:t>
      </w:r>
      <w:r>
        <w:rPr>
          <w:rFonts w:cs="Arial"/>
        </w:rPr>
        <w:t xml:space="preserve">important </w:t>
      </w:r>
      <w:r w:rsidRPr="009D7613">
        <w:rPr>
          <w:rFonts w:cs="Arial"/>
        </w:rPr>
        <w:t>work being carried out by our officers across the country to disrupt the activities of organised criminals by seizing drugs and arresting those involved.</w:t>
      </w:r>
      <w:r>
        <w:rPr>
          <w:rFonts w:cs="Arial"/>
        </w:rPr>
        <w:t xml:space="preserve"> Officers carried out action during a UK-wide county lines intensification week which saw vulnerable young people safeguarded as well as drugs being seized and a number of arrests being made.</w:t>
      </w:r>
    </w:p>
    <w:p w14:paraId="74075AFC" w14:textId="77777777" w:rsidR="00EE3112" w:rsidRPr="009401F9" w:rsidRDefault="00EE3112" w:rsidP="00EE3112">
      <w:pPr>
        <w:rPr>
          <w:rFonts w:cs="Arial"/>
        </w:rPr>
      </w:pPr>
      <w:r>
        <w:rPr>
          <w:rFonts w:cs="Arial"/>
        </w:rPr>
        <w:t>Our commitment to keeping helping those affected by problematic drug use is evidenced by the significant use of Naloxone which has now been administered by our officers 416 times.</w:t>
      </w:r>
    </w:p>
    <w:p w14:paraId="593A7872" w14:textId="77777777" w:rsidR="00EE3112" w:rsidRDefault="00EE3112" w:rsidP="00EE3112">
      <w:pPr>
        <w:rPr>
          <w:rFonts w:cs="Arial"/>
        </w:rPr>
      </w:pPr>
      <w:r w:rsidRPr="009D7613">
        <w:rPr>
          <w:rFonts w:cs="Arial"/>
        </w:rPr>
        <w:t xml:space="preserve">Our regular performance reports </w:t>
      </w:r>
      <w:r>
        <w:rPr>
          <w:rFonts w:cs="Arial"/>
        </w:rPr>
        <w:t xml:space="preserve">continue to </w:t>
      </w:r>
      <w:r w:rsidRPr="009D7613">
        <w:rPr>
          <w:rFonts w:cs="Arial"/>
        </w:rPr>
        <w:t xml:space="preserve">give meaningful and accessible insight into the depth and breadth of police work undertaken by </w:t>
      </w:r>
      <w:r>
        <w:rPr>
          <w:rFonts w:cs="Arial"/>
        </w:rPr>
        <w:t xml:space="preserve">our </w:t>
      </w:r>
      <w:r w:rsidRPr="009D7613">
        <w:rPr>
          <w:rFonts w:cs="Arial"/>
        </w:rPr>
        <w:t>committed and professional officers and staff and how the outcome of that work relates to our strategic outcomes.</w:t>
      </w:r>
    </w:p>
    <w:p w14:paraId="09B4C491" w14:textId="504190CC" w:rsidR="00E43B8E" w:rsidRDefault="00E43B8E" w:rsidP="001971D0"/>
    <w:p w14:paraId="5DA15CD8" w14:textId="0D2FFBA3" w:rsidR="00E43B8E" w:rsidRDefault="00E43B8E" w:rsidP="001971D0">
      <w:pPr>
        <w:rPr>
          <w:rStyle w:val="Strong"/>
        </w:rPr>
      </w:pPr>
      <w:r w:rsidRPr="00E43B8E">
        <w:rPr>
          <w:noProof/>
          <w:lang w:eastAsia="en-GB"/>
        </w:rPr>
        <w:drawing>
          <wp:inline distT="0" distB="0" distL="0" distR="0" wp14:anchorId="745AE73E" wp14:editId="332CAC13">
            <wp:extent cx="615982" cy="234962"/>
            <wp:effectExtent l="0" t="0" r="0" b="0"/>
            <wp:docPr id="416460816" name="Picture 416460816" descr="DCC Speirs Signature" title="DCC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460816" name="Picture 1" descr="DCC Speirs Signature"/>
                    <pic:cNvPicPr/>
                  </pic:nvPicPr>
                  <pic:blipFill>
                    <a:blip r:embed="rId13"/>
                    <a:stretch>
                      <a:fillRect/>
                    </a:stretch>
                  </pic:blipFill>
                  <pic:spPr>
                    <a:xfrm>
                      <a:off x="0" y="0"/>
                      <a:ext cx="615982" cy="234962"/>
                    </a:xfrm>
                    <a:prstGeom prst="rect">
                      <a:avLst/>
                    </a:prstGeom>
                  </pic:spPr>
                </pic:pic>
              </a:graphicData>
            </a:graphic>
          </wp:inline>
        </w:drawing>
      </w:r>
    </w:p>
    <w:p w14:paraId="0F7DC20D" w14:textId="6E7D2715" w:rsidR="001971D0" w:rsidRPr="00676996" w:rsidRDefault="00AA5FDF" w:rsidP="001971D0">
      <w:pPr>
        <w:rPr>
          <w:rStyle w:val="Strong"/>
        </w:rPr>
      </w:pPr>
      <w:r>
        <w:rPr>
          <w:rStyle w:val="Strong"/>
        </w:rPr>
        <w:t>Alan Speirs</w:t>
      </w:r>
    </w:p>
    <w:p w14:paraId="39BE5693" w14:textId="0F549D36" w:rsidR="000C3C84" w:rsidRDefault="00AA5FDF" w:rsidP="001971D0">
      <w:r>
        <w:t xml:space="preserve">Interim </w:t>
      </w:r>
      <w:r w:rsidR="001971D0">
        <w:t xml:space="preserve">Deputy Chief Constable Professionalism, </w:t>
      </w:r>
      <w:r w:rsidR="0075704B">
        <w:t>Strategy and Engagement</w:t>
      </w:r>
    </w:p>
    <w:p w14:paraId="298D6568" w14:textId="77777777" w:rsidR="000C3C84" w:rsidRDefault="000C3C84">
      <w:pPr>
        <w:spacing w:before="0" w:after="160" w:line="259" w:lineRule="auto"/>
      </w:pPr>
      <w:r>
        <w:br w:type="page"/>
      </w:r>
    </w:p>
    <w:p w14:paraId="7FB26431" w14:textId="1FEDDBA2" w:rsidR="00723CC8" w:rsidRDefault="00D12BB1" w:rsidP="00B453C4">
      <w:pPr>
        <w:pStyle w:val="Heading3"/>
      </w:pPr>
      <w:bookmarkStart w:id="11" w:name="_Toc140746123"/>
      <w:bookmarkStart w:id="12" w:name="_Toc140750237"/>
      <w:bookmarkStart w:id="13" w:name="_Toc142045254"/>
      <w:bookmarkStart w:id="14" w:name="_Toc157687359"/>
      <w:bookmarkStart w:id="15" w:name="_Toc157696603"/>
      <w:bookmarkStart w:id="16" w:name="_Toc158895838"/>
      <w:r w:rsidRPr="00D12BB1">
        <w:lastRenderedPageBreak/>
        <w:t>Executive Summary</w:t>
      </w:r>
      <w:bookmarkEnd w:id="11"/>
      <w:bookmarkEnd w:id="12"/>
      <w:bookmarkEnd w:id="13"/>
      <w:bookmarkEnd w:id="14"/>
      <w:bookmarkEnd w:id="15"/>
      <w:bookmarkEnd w:id="16"/>
    </w:p>
    <w:p w14:paraId="6EE36D66" w14:textId="77777777" w:rsidR="00D12BB1" w:rsidRDefault="00D12BB1" w:rsidP="002554CE">
      <w:pPr>
        <w:pStyle w:val="Heading4"/>
      </w:pPr>
      <w:r w:rsidRPr="007B42BA">
        <w:t>Introduction</w:t>
      </w:r>
    </w:p>
    <w:p w14:paraId="176F7DC3" w14:textId="2419F2F7" w:rsidR="00E84146" w:rsidRDefault="008E4FDA" w:rsidP="008E4FDA">
      <w:r>
        <w:t xml:space="preserve">This is the </w:t>
      </w:r>
      <w:r w:rsidR="00641FC0">
        <w:t>third</w:t>
      </w:r>
      <w:r>
        <w:t xml:space="preserve"> Quarterly report of the 202</w:t>
      </w:r>
      <w:r w:rsidR="00E45D80">
        <w:t>3</w:t>
      </w:r>
      <w:r>
        <w:t>/2</w:t>
      </w:r>
      <w:r w:rsidR="00E45D80">
        <w:t>4</w:t>
      </w:r>
      <w:r>
        <w:t xml:space="preserve"> performance cycle, reporting on our </w:t>
      </w:r>
      <w:hyperlink r:id="rId14" w:history="1">
        <w:r w:rsidR="001B4077">
          <w:rPr>
            <w:rStyle w:val="Hyperlink"/>
          </w:rPr>
          <w:t>Performance Framework</w:t>
        </w:r>
      </w:hyperlink>
      <w:r>
        <w:t xml:space="preserve"> and Measures of Progress</w:t>
      </w:r>
      <w:r w:rsidR="00E84146">
        <w:t>. This report takes a more holistic approach on reporting against the five strategic outcomes as much of the activity reported will crossover and inform more than one strategic objective.</w:t>
      </w:r>
    </w:p>
    <w:p w14:paraId="7E823ADC" w14:textId="2C26F5F0" w:rsidR="00C2679C" w:rsidRDefault="00C2679C" w:rsidP="00C2679C">
      <w:r>
        <w:t xml:space="preserve">Our outcomes focused Performance Framework </w:t>
      </w:r>
      <w:r w:rsidR="001B4077" w:rsidRPr="001B4077">
        <w:t>is set by the Joint Strategy for Policing and linked to our strategic planning processes. It aligns to the Strategic Outcomes as detailed</w:t>
      </w:r>
      <w:r>
        <w:t xml:space="preserve"> in the </w:t>
      </w:r>
      <w:hyperlink r:id="rId15" w:history="1">
        <w:r w:rsidRPr="00C2679C">
          <w:rPr>
            <w:rStyle w:val="Hyperlink"/>
          </w:rPr>
          <w:t>2023/24 Annual Police Plan</w:t>
        </w:r>
      </w:hyperlink>
      <w:r>
        <w:t>, these being:</w:t>
      </w:r>
    </w:p>
    <w:p w14:paraId="65190B9F" w14:textId="77777777" w:rsidR="00C2679C" w:rsidRDefault="00C2679C" w:rsidP="000862B6">
      <w:pPr>
        <w:pStyle w:val="Bullets"/>
      </w:pPr>
      <w:r w:rsidRPr="00D12BB1">
        <w:rPr>
          <w:rStyle w:val="Strong"/>
        </w:rPr>
        <w:t>Public Safety and Wellbeing</w:t>
      </w:r>
      <w:r w:rsidRPr="00D12BB1">
        <w:t xml:space="preserve"> – threats to public safety and wellbeing are resolved by a proactive and responsive police service</w:t>
      </w:r>
    </w:p>
    <w:p w14:paraId="0CDFBCCA" w14:textId="77777777" w:rsidR="00C2679C" w:rsidRDefault="00C2679C" w:rsidP="000862B6">
      <w:pPr>
        <w:pStyle w:val="Bullets"/>
      </w:pPr>
      <w:r w:rsidRPr="00D12BB1">
        <w:rPr>
          <w:rStyle w:val="Strong"/>
        </w:rPr>
        <w:t>Needs of Local Communities</w:t>
      </w:r>
      <w:r w:rsidRPr="00D12BB1">
        <w:t xml:space="preserve"> – the needs of local communities are addressed through effective service delivery</w:t>
      </w:r>
    </w:p>
    <w:p w14:paraId="7E5A45AE" w14:textId="77777777" w:rsidR="00C2679C" w:rsidRDefault="00C2679C" w:rsidP="000862B6">
      <w:pPr>
        <w:pStyle w:val="Bullets"/>
      </w:pPr>
      <w:r w:rsidRPr="00D12BB1">
        <w:rPr>
          <w:rStyle w:val="Strong"/>
        </w:rPr>
        <w:t>Confidence in Policing</w:t>
      </w:r>
      <w:r w:rsidRPr="00D12BB1">
        <w:t xml:space="preserve"> – the public, communities and partners are engaged, involved and have confidence in policing</w:t>
      </w:r>
    </w:p>
    <w:p w14:paraId="68301C2B" w14:textId="77777777" w:rsidR="00C2679C" w:rsidRDefault="00C2679C" w:rsidP="000862B6">
      <w:pPr>
        <w:pStyle w:val="Bullets"/>
      </w:pPr>
      <w:r w:rsidRPr="00D12BB1">
        <w:rPr>
          <w:rStyle w:val="Strong"/>
        </w:rPr>
        <w:t>Working Environment</w:t>
      </w:r>
      <w:r w:rsidRPr="00D12BB1">
        <w:t xml:space="preserve"> – our people are supported through a positive working environment, enabling them to serve the public</w:t>
      </w:r>
    </w:p>
    <w:p w14:paraId="18B5967C" w14:textId="77777777" w:rsidR="00C2679C" w:rsidRPr="00D12BB1" w:rsidRDefault="00C2679C" w:rsidP="000862B6">
      <w:pPr>
        <w:pStyle w:val="Bullets"/>
      </w:pPr>
      <w:r w:rsidRPr="00D12BB1">
        <w:rPr>
          <w:rStyle w:val="Strong"/>
        </w:rPr>
        <w:t>Sustainable and Adaptable Service</w:t>
      </w:r>
      <w:r w:rsidRPr="00D12BB1">
        <w:t xml:space="preserve"> – Police Scotland is sustainable, adaptable and prepared for future challenges</w:t>
      </w:r>
    </w:p>
    <w:p w14:paraId="130E3030" w14:textId="74D45AFF" w:rsidR="008E4FDA" w:rsidRDefault="00E84146" w:rsidP="008E4FDA">
      <w:r>
        <w:t>This approach provides a wider and more detailed picture of traditional policing performance measures, supplemented with additional insight and narrative to the many different aspects of policing and corporate support functions</w:t>
      </w:r>
      <w:r w:rsidR="008E4FDA">
        <w:t>.</w:t>
      </w:r>
    </w:p>
    <w:p w14:paraId="65106BDB" w14:textId="7EB4DEE3" w:rsidR="001B4077" w:rsidRDefault="001B4077" w:rsidP="008E4FDA">
      <w:r>
        <w:t>As has previously been reported, the demands placed on officers within our increasingly complex operating environment are becoming more challenging. This report aims to be more streamlined with a focus on identifying exceptions, proactive work to improve outcomes and service delivery, and best practice.</w:t>
      </w:r>
    </w:p>
    <w:p w14:paraId="1D61C0EF" w14:textId="785A330E" w:rsidR="001B4077" w:rsidRDefault="001B4077" w:rsidP="008E4FDA">
      <w:r>
        <w:t>A number of key exceptions, local insights and examples of good proactive/preventative policing during this quarter have been identified and highlighted. These include:</w:t>
      </w:r>
    </w:p>
    <w:p w14:paraId="52DEAAC5" w14:textId="2A1B587A" w:rsidR="009C531E" w:rsidRPr="008A12B9" w:rsidRDefault="009C531E" w:rsidP="002554CE">
      <w:pPr>
        <w:pStyle w:val="Heading4"/>
        <w:rPr>
          <w:color w:val="auto"/>
        </w:rPr>
      </w:pPr>
      <w:r w:rsidRPr="008A12B9">
        <w:rPr>
          <w:color w:val="auto"/>
        </w:rPr>
        <w:t xml:space="preserve">Key </w:t>
      </w:r>
      <w:r w:rsidR="0092734A" w:rsidRPr="008A12B9">
        <w:rPr>
          <w:color w:val="auto"/>
        </w:rPr>
        <w:t>Exceptions</w:t>
      </w:r>
    </w:p>
    <w:p w14:paraId="6BC2EE15" w14:textId="1123FFA0" w:rsidR="009C531E" w:rsidRPr="008A12B9" w:rsidRDefault="009C531E" w:rsidP="000862B6">
      <w:pPr>
        <w:pStyle w:val="Bullets"/>
      </w:pPr>
      <w:r w:rsidRPr="008A12B9">
        <w:t>Serious assaults on officers and staff increasing against last year and five-year mean;</w:t>
      </w:r>
    </w:p>
    <w:p w14:paraId="56F1B119" w14:textId="1E5A1FD6" w:rsidR="009C531E" w:rsidRPr="008A12B9" w:rsidRDefault="009C531E" w:rsidP="000862B6">
      <w:pPr>
        <w:pStyle w:val="Bullets"/>
      </w:pPr>
      <w:r w:rsidRPr="008A12B9">
        <w:t xml:space="preserve">Reported rape exceeding year-to-date </w:t>
      </w:r>
      <w:r w:rsidR="001B4077">
        <w:t>statistical</w:t>
      </w:r>
      <w:r w:rsidRPr="008A12B9">
        <w:t xml:space="preserve"> limits;</w:t>
      </w:r>
    </w:p>
    <w:p w14:paraId="0CDC70D3" w14:textId="4E3E4CB0" w:rsidR="009C531E" w:rsidRPr="008A12B9" w:rsidRDefault="009C531E" w:rsidP="000862B6">
      <w:pPr>
        <w:pStyle w:val="Bullets"/>
      </w:pPr>
      <w:r w:rsidRPr="008A12B9">
        <w:t>999 calls answered in under 10 seconds benchmarked against UK figures;</w:t>
      </w:r>
    </w:p>
    <w:p w14:paraId="49048A66" w14:textId="02189FF9" w:rsidR="009C531E" w:rsidRPr="008A12B9" w:rsidRDefault="009C531E" w:rsidP="000862B6">
      <w:pPr>
        <w:pStyle w:val="Bullets"/>
      </w:pPr>
      <w:r w:rsidRPr="008A12B9">
        <w:t>Acquisitive crime repeat offenders up on last year for Total Group 3, housebreakings, shoplifting and theft of motor vehicle crimes.</w:t>
      </w:r>
    </w:p>
    <w:p w14:paraId="782A1947" w14:textId="6D2D8870" w:rsidR="009C531E" w:rsidRPr="008A12B9" w:rsidRDefault="009C531E" w:rsidP="002554CE">
      <w:pPr>
        <w:pStyle w:val="Heading4"/>
        <w:rPr>
          <w:color w:val="auto"/>
        </w:rPr>
      </w:pPr>
      <w:r w:rsidRPr="008A12B9">
        <w:rPr>
          <w:color w:val="auto"/>
        </w:rPr>
        <w:lastRenderedPageBreak/>
        <w:t>Local Insights</w:t>
      </w:r>
    </w:p>
    <w:p w14:paraId="32A2A685" w14:textId="4CE29581" w:rsidR="000862B6" w:rsidRPr="008A12B9" w:rsidRDefault="000862B6" w:rsidP="000862B6">
      <w:pPr>
        <w:pStyle w:val="Bullets"/>
      </w:pPr>
      <w:r w:rsidRPr="008A12B9">
        <w:t>Decrease in serious assaults in Greater Glasgow Division compared to their five year mean and analysis of their serious assaults per SIMD</w:t>
      </w:r>
      <w:r w:rsidR="000648A3" w:rsidRPr="008A12B9">
        <w:t xml:space="preserve"> and per division</w:t>
      </w:r>
      <w:r w:rsidRPr="008A12B9">
        <w:t>;</w:t>
      </w:r>
    </w:p>
    <w:p w14:paraId="75F90C01" w14:textId="100897CD" w:rsidR="000862B6" w:rsidRPr="008A12B9" w:rsidRDefault="000862B6" w:rsidP="000862B6">
      <w:pPr>
        <w:pStyle w:val="Bullets"/>
      </w:pPr>
      <w:r w:rsidRPr="008A12B9">
        <w:t>Increases in drink, drug driving offences across Scotland by region and division;</w:t>
      </w:r>
    </w:p>
    <w:p w14:paraId="5AF8A617" w14:textId="34825A7D" w:rsidR="000862B6" w:rsidRPr="008A12B9" w:rsidRDefault="000862B6" w:rsidP="000862B6">
      <w:pPr>
        <w:pStyle w:val="Bullets"/>
      </w:pPr>
      <w:r w:rsidRPr="008A12B9">
        <w:t>Increased hate crimes recorded across 8 of the 13 local policing divisions;</w:t>
      </w:r>
    </w:p>
    <w:p w14:paraId="4802F51E" w14:textId="550169E0" w:rsidR="000862B6" w:rsidRPr="008A12B9" w:rsidRDefault="000862B6" w:rsidP="000862B6">
      <w:pPr>
        <w:pStyle w:val="Bullets"/>
      </w:pPr>
      <w:r w:rsidRPr="008A12B9">
        <w:t>Acquisitive crime repeat offenders</w:t>
      </w:r>
      <w:r w:rsidR="001B4077">
        <w:t xml:space="preserve"> have increased for shoplifting crimes</w:t>
      </w:r>
      <w:r w:rsidRPr="008A12B9">
        <w:t>.</w:t>
      </w:r>
    </w:p>
    <w:p w14:paraId="6FCC5DD3" w14:textId="3D4AF767" w:rsidR="000862B6" w:rsidRPr="008A12B9" w:rsidRDefault="000862B6" w:rsidP="002554CE">
      <w:pPr>
        <w:pStyle w:val="Heading4"/>
        <w:rPr>
          <w:color w:val="auto"/>
        </w:rPr>
      </w:pPr>
      <w:r w:rsidRPr="008A12B9">
        <w:rPr>
          <w:color w:val="auto"/>
        </w:rPr>
        <w:t>Proactive/Preventative Policing</w:t>
      </w:r>
    </w:p>
    <w:p w14:paraId="5E1741FA" w14:textId="71A82F72" w:rsidR="000862B6" w:rsidRPr="008A12B9" w:rsidRDefault="000862B6" w:rsidP="000862B6">
      <w:pPr>
        <w:pStyle w:val="Bullets"/>
      </w:pPr>
      <w:r w:rsidRPr="008A12B9">
        <w:t>Rape detections and the proactive work done in Ayrshire Division to tackle their backlog and prioritise sexual crimes;</w:t>
      </w:r>
    </w:p>
    <w:p w14:paraId="793E9A08" w14:textId="448D0CDC" w:rsidR="000862B6" w:rsidRPr="008A12B9" w:rsidRDefault="000862B6" w:rsidP="000862B6">
      <w:pPr>
        <w:pStyle w:val="Bullets"/>
      </w:pPr>
      <w:r w:rsidRPr="008A12B9">
        <w:t>The National County Lines Intensification Week where significant arrests were made, drugs/cash seized and a number of vulnerable persons safeguarded;</w:t>
      </w:r>
    </w:p>
    <w:p w14:paraId="7D0B89AA" w14:textId="2DA28705" w:rsidR="000862B6" w:rsidRPr="008A12B9" w:rsidRDefault="000862B6" w:rsidP="000862B6">
      <w:pPr>
        <w:pStyle w:val="Bullets"/>
      </w:pPr>
      <w:r w:rsidRPr="008A12B9">
        <w:t xml:space="preserve">Road policing campaigns aimed at proactively preventing fatalities and injuries on our roads with a number of speeding, insurance </w:t>
      </w:r>
      <w:r w:rsidR="00C02DF2">
        <w:t>and</w:t>
      </w:r>
      <w:r w:rsidRPr="008A12B9">
        <w:t xml:space="preserve"> drink, drug driving offences detected;</w:t>
      </w:r>
    </w:p>
    <w:p w14:paraId="3BDEDEF3" w14:textId="4F6250BD" w:rsidR="002D7E81" w:rsidRPr="008A12B9" w:rsidRDefault="002D7E81" w:rsidP="002D7E81">
      <w:pPr>
        <w:pStyle w:val="Bullets"/>
      </w:pPr>
      <w:r w:rsidRPr="008A12B9">
        <w:t>Engagement with business partners to tackle and prevent acquisitive crime;</w:t>
      </w:r>
    </w:p>
    <w:p w14:paraId="01F3CD68" w14:textId="1E5F58EF" w:rsidR="000862B6" w:rsidRPr="008A12B9" w:rsidRDefault="000862B6" w:rsidP="000862B6">
      <w:pPr>
        <w:pStyle w:val="Bullets"/>
      </w:pPr>
      <w:r w:rsidRPr="008A12B9">
        <w:t>Preventing Fraud in the East of Scotland through the proactive multi-agency financial triage hub project;</w:t>
      </w:r>
    </w:p>
    <w:p w14:paraId="3E996909" w14:textId="00066D96" w:rsidR="000862B6" w:rsidRPr="008A12B9" w:rsidRDefault="000862B6" w:rsidP="000862B6">
      <w:pPr>
        <w:pStyle w:val="Bullets"/>
      </w:pPr>
      <w:r w:rsidRPr="008A12B9">
        <w:t>Identifying vulnerable victims of Fraud through the Banking Protocol.</w:t>
      </w:r>
    </w:p>
    <w:p w14:paraId="1F307306" w14:textId="6A6A5FDC" w:rsidR="001B4077" w:rsidRDefault="001B4077" w:rsidP="001B4077">
      <w:pPr>
        <w:pStyle w:val="Heading4"/>
      </w:pPr>
      <w:r w:rsidRPr="001B4077">
        <w:rPr>
          <w:color w:val="auto"/>
        </w:rPr>
        <w:t>Terminology within this Report</w:t>
      </w:r>
    </w:p>
    <w:p w14:paraId="1A308083" w14:textId="02840E97" w:rsidR="00D12BB1" w:rsidRDefault="00B01D60" w:rsidP="00C2679C">
      <w:pPr>
        <w:rPr>
          <w:lang w:eastAsia="en-GB"/>
        </w:rPr>
      </w:pPr>
      <w:r w:rsidRPr="008A12B9">
        <w:t xml:space="preserve">A new style of table has been included in this section which introduces </w:t>
      </w:r>
      <w:r w:rsidR="008A54AA" w:rsidRPr="008A12B9">
        <w:t>bar chart</w:t>
      </w:r>
      <w:r w:rsidR="000156F5">
        <w:t xml:space="preserve"> and line graph</w:t>
      </w:r>
      <w:r w:rsidR="008A54AA">
        <w:t xml:space="preserve"> </w:t>
      </w:r>
      <w:r>
        <w:t>sparklines into our reporting templ</w:t>
      </w:r>
      <w:r w:rsidR="000156F5">
        <w:t xml:space="preserve">ate. The period with the highest </w:t>
      </w:r>
      <w:r>
        <w:t>volume</w:t>
      </w:r>
      <w:r w:rsidR="00F841D1">
        <w:t xml:space="preserve"> of crimes/incidents is</w:t>
      </w:r>
      <w:r w:rsidR="000156F5">
        <w:t xml:space="preserve"> highlighted red in the bar chart sparkline</w:t>
      </w:r>
      <w:r>
        <w:t>.</w:t>
      </w:r>
      <w:r w:rsidR="000156F5">
        <w:t xml:space="preserve"> The six-month sparklines cover the period July 2023 to December 2023 whilst the five-year sparklines cover </w:t>
      </w:r>
      <w:r w:rsidR="00F841D1">
        <w:t xml:space="preserve">Quarter 3 </w:t>
      </w:r>
      <w:r w:rsidR="000156F5">
        <w:t>YTD from 2019/20 to 2023/24.</w:t>
      </w:r>
      <w:r w:rsidR="000648A3">
        <w:t xml:space="preserve"> </w:t>
      </w:r>
      <w:r w:rsidR="00F841D1">
        <w:rPr>
          <w:lang w:eastAsia="en-GB"/>
        </w:rPr>
        <w:t xml:space="preserve">Local insights </w:t>
      </w:r>
      <w:r w:rsidR="000648A3">
        <w:rPr>
          <w:lang w:eastAsia="en-GB"/>
        </w:rPr>
        <w:t xml:space="preserve">include </w:t>
      </w:r>
      <w:r w:rsidR="00F841D1">
        <w:rPr>
          <w:lang w:eastAsia="en-GB"/>
        </w:rPr>
        <w:t>disaggregated data. The following is a key to each of the 13 local policing divisions included in these comparisons:</w:t>
      </w:r>
    </w:p>
    <w:p w14:paraId="47D55016" w14:textId="497A7D03" w:rsidR="000648A3" w:rsidRDefault="000648A3" w:rsidP="00C2679C">
      <w:r>
        <w:rPr>
          <w:noProof/>
          <w:lang w:eastAsia="en-GB"/>
        </w:rPr>
        <w:drawing>
          <wp:inline distT="0" distB="0" distL="0" distR="0" wp14:anchorId="7B1AC729" wp14:editId="4AE0EB5E">
            <wp:extent cx="6264000" cy="1656000"/>
            <wp:effectExtent l="0" t="0" r="3810" b="1905"/>
            <wp:docPr id="17" name="Picture 17" descr="This visualisation is a key to each of the 13 local policing divisions per region. This is to assist with viewing the disaggregated data included within this report.&#10;&#10;North region includes A – North East, D – Tayside and N – Highland &amp; Island;&#10;East region includes C – Forth Valley, E – Edinburgh, J – The Lothians &amp; Scottish Borders and P – Fife;&#10;West region includes G – Greater Glasgow, U – Ayrshire, Q – Lanarkshire, L – Argyll &amp; West Dunbartonshire; K – Renfrewshire &amp; Inverclyde; V – Dumfries &amp; Galloway.&#10;" title="Divisional Identification Key Visualis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6"/>
                    <a:stretch>
                      <a:fillRect/>
                    </a:stretch>
                  </pic:blipFill>
                  <pic:spPr>
                    <a:xfrm>
                      <a:off x="0" y="0"/>
                      <a:ext cx="6264000" cy="1656000"/>
                    </a:xfrm>
                    <a:prstGeom prst="rect">
                      <a:avLst/>
                    </a:prstGeom>
                  </pic:spPr>
                </pic:pic>
              </a:graphicData>
            </a:graphic>
          </wp:inline>
        </w:drawing>
      </w:r>
    </w:p>
    <w:p w14:paraId="3A61E9A7" w14:textId="0BFF554F" w:rsidR="00BD7B70" w:rsidRDefault="00BD7B70" w:rsidP="00052644">
      <w:pPr>
        <w:rPr>
          <w:rFonts w:cs="Arial"/>
          <w:color w:val="000000"/>
        </w:rPr>
      </w:pPr>
      <w:r w:rsidRPr="00BD7B70">
        <w:rPr>
          <w:rFonts w:cs="Arial"/>
          <w:color w:val="000000"/>
        </w:rPr>
        <w:t xml:space="preserve">This document uses the statistical term 'Control Limits' throughout. A Control Limit uses the statistical process of confidence intervals which shows the upper and/or lower boundaries within which the data set is expected to fall. Control limits help to identify when a data set is </w:t>
      </w:r>
      <w:proofErr w:type="spellStart"/>
      <w:r w:rsidRPr="00BD7B70">
        <w:rPr>
          <w:rFonts w:cs="Arial"/>
          <w:color w:val="000000"/>
        </w:rPr>
        <w:t>outwith</w:t>
      </w:r>
      <w:proofErr w:type="spellEnd"/>
      <w:r w:rsidRPr="00BD7B70">
        <w:rPr>
          <w:rFonts w:cs="Arial"/>
          <w:color w:val="000000"/>
        </w:rPr>
        <w:t xml:space="preserve"> the expected levels or exhibiting unusual variation that may require investigation and corrective action.</w:t>
      </w:r>
    </w:p>
    <w:p w14:paraId="03D44F7D" w14:textId="5085980D" w:rsidR="00BD7B70" w:rsidRPr="00BD7B70" w:rsidRDefault="00BD7B70" w:rsidP="00052644">
      <w:pPr>
        <w:rPr>
          <w:rFonts w:cs="Arial"/>
          <w:sz w:val="40"/>
          <w:szCs w:val="40"/>
        </w:rPr>
      </w:pPr>
      <w:r w:rsidRPr="00BD7B70">
        <w:rPr>
          <w:rFonts w:cs="Arial"/>
          <w:color w:val="000000"/>
        </w:rPr>
        <w:lastRenderedPageBreak/>
        <w:t>This document uses the terms Previous Year to Date (PYTD) and Year to Date (YTD). Previous Year to Date refers to the period April to December 2022/23, and Year to Date refers to April to December 2023/24.</w:t>
      </w:r>
    </w:p>
    <w:p w14:paraId="3B12C7BC" w14:textId="7D2E422E" w:rsidR="00CF4E24" w:rsidRPr="00BD7B70" w:rsidRDefault="00BD7B70" w:rsidP="00052644">
      <w:pPr>
        <w:rPr>
          <w:rFonts w:eastAsiaTheme="majorEastAsia" w:cs="Arial"/>
          <w:b/>
          <w:bCs/>
          <w:iCs/>
        </w:rPr>
      </w:pPr>
      <w:r w:rsidRPr="00BD7B70">
        <w:rPr>
          <w:rFonts w:cs="Arial"/>
          <w:color w:val="000000"/>
        </w:rPr>
        <w:t>This enhanced style of reporting will help our stakeholders and communities identify and understand performance trends and variation. This supports our commitment to highlighting the complexities of delivering an effective police service, how we are evolving as a service, how we face the challenges of modern policing and ensure we are delivering performance in line with our organisational values.</w:t>
      </w:r>
      <w:r w:rsidR="00CF4E24" w:rsidRPr="00BD7B70">
        <w:rPr>
          <w:rFonts w:cs="Arial"/>
        </w:rPr>
        <w:br w:type="page"/>
      </w:r>
    </w:p>
    <w:p w14:paraId="636909C9" w14:textId="77777777" w:rsidR="001A1A84" w:rsidRDefault="001A1A84" w:rsidP="00B453C4">
      <w:pPr>
        <w:pStyle w:val="Heading3"/>
      </w:pPr>
      <w:bookmarkStart w:id="17" w:name="_Toc140746124"/>
      <w:bookmarkStart w:id="18" w:name="_Toc140750238"/>
      <w:bookmarkStart w:id="19" w:name="_Toc142045257"/>
      <w:bookmarkStart w:id="20" w:name="_Toc157687360"/>
      <w:bookmarkStart w:id="21" w:name="_Toc157696604"/>
      <w:bookmarkStart w:id="22" w:name="_Toc158895839"/>
      <w:r w:rsidRPr="001A1A84">
        <w:lastRenderedPageBreak/>
        <w:t>Performance Framework Outcomes and Objectives</w:t>
      </w:r>
      <w:bookmarkEnd w:id="17"/>
      <w:bookmarkEnd w:id="18"/>
      <w:bookmarkEnd w:id="19"/>
      <w:bookmarkEnd w:id="20"/>
      <w:bookmarkEnd w:id="21"/>
      <w:bookmarkEnd w:id="22"/>
    </w:p>
    <w:p w14:paraId="4DCFEB42" w14:textId="1585950B" w:rsidR="001A1A84" w:rsidRDefault="001A1A84" w:rsidP="006149CE">
      <w:r w:rsidRPr="001A1A84">
        <w:t>The following is a summary of the strategic outcomes and objectives contained within the Annual Police Plan 202</w:t>
      </w:r>
      <w:r w:rsidR="00FE2848">
        <w:t>3</w:t>
      </w:r>
      <w:r w:rsidRPr="001A1A84">
        <w:t>/2</w:t>
      </w:r>
      <w:r w:rsidR="00FE2848">
        <w:t>4</w:t>
      </w:r>
      <w:r>
        <w:t>.</w:t>
      </w:r>
    </w:p>
    <w:tbl>
      <w:tblPr>
        <w:tblW w:w="0" w:type="auto"/>
        <w:tblLayout w:type="fixed"/>
        <w:tblLook w:val="04A0" w:firstRow="1" w:lastRow="0" w:firstColumn="1" w:lastColumn="0" w:noHBand="0" w:noVBand="1"/>
      </w:tblPr>
      <w:tblGrid>
        <w:gridCol w:w="2665"/>
        <w:gridCol w:w="567"/>
        <w:gridCol w:w="284"/>
        <w:gridCol w:w="6576"/>
      </w:tblGrid>
      <w:tr w:rsidR="00E76ECA" w:rsidRPr="00E45D80" w14:paraId="4ACAC4D2" w14:textId="77777777" w:rsidTr="00E76ECA">
        <w:trPr>
          <w:trHeight w:val="340"/>
        </w:trPr>
        <w:tc>
          <w:tcPr>
            <w:tcW w:w="2665" w:type="dxa"/>
            <w:shd w:val="clear" w:color="auto" w:fill="2F5496"/>
            <w:vAlign w:val="center"/>
          </w:tcPr>
          <w:p w14:paraId="200BB705" w14:textId="77777777" w:rsidR="00E76ECA" w:rsidRPr="00E45D80" w:rsidRDefault="00E76ECA" w:rsidP="00E76ECA">
            <w:pPr>
              <w:spacing w:before="0" w:after="0" w:line="240" w:lineRule="auto"/>
              <w:rPr>
                <w:rFonts w:eastAsia="Calibri" w:cs="Arial"/>
                <w:b/>
                <w:color w:val="FFFFFF"/>
                <w:sz w:val="20"/>
                <w:szCs w:val="20"/>
              </w:rPr>
            </w:pPr>
            <w:r w:rsidRPr="00E45D80">
              <w:rPr>
                <w:rFonts w:eastAsia="Calibri" w:cs="Arial"/>
                <w:b/>
                <w:color w:val="FFFFFF"/>
                <w:sz w:val="20"/>
                <w:szCs w:val="20"/>
              </w:rPr>
              <w:t>Outcomes</w:t>
            </w:r>
          </w:p>
        </w:tc>
        <w:tc>
          <w:tcPr>
            <w:tcW w:w="567" w:type="dxa"/>
            <w:shd w:val="clear" w:color="auto" w:fill="auto"/>
            <w:vAlign w:val="center"/>
          </w:tcPr>
          <w:p w14:paraId="7C78F269" w14:textId="77777777" w:rsidR="00E76ECA" w:rsidRPr="00E45D80" w:rsidRDefault="00E76ECA" w:rsidP="00E76ECA">
            <w:pPr>
              <w:spacing w:before="0" w:after="0" w:line="240" w:lineRule="auto"/>
              <w:rPr>
                <w:rFonts w:eastAsia="Calibri" w:cs="Arial"/>
                <w:sz w:val="20"/>
                <w:szCs w:val="20"/>
              </w:rPr>
            </w:pPr>
          </w:p>
        </w:tc>
        <w:tc>
          <w:tcPr>
            <w:tcW w:w="6860" w:type="dxa"/>
            <w:gridSpan w:val="2"/>
            <w:shd w:val="clear" w:color="auto" w:fill="2F5496"/>
            <w:vAlign w:val="center"/>
          </w:tcPr>
          <w:p w14:paraId="46F89DCE" w14:textId="77777777" w:rsidR="00E76ECA" w:rsidRPr="00E45D80" w:rsidRDefault="00E76ECA" w:rsidP="00E76ECA">
            <w:pPr>
              <w:spacing w:before="0" w:after="0" w:line="240" w:lineRule="auto"/>
              <w:rPr>
                <w:rFonts w:eastAsia="Calibri" w:cs="Arial"/>
                <w:b/>
                <w:color w:val="FFFFFF"/>
                <w:sz w:val="20"/>
                <w:szCs w:val="20"/>
              </w:rPr>
            </w:pPr>
            <w:r w:rsidRPr="00E45D80">
              <w:rPr>
                <w:rFonts w:eastAsia="Calibri" w:cs="Arial"/>
                <w:b/>
                <w:color w:val="FFFFFF"/>
                <w:sz w:val="20"/>
                <w:szCs w:val="20"/>
              </w:rPr>
              <w:t>Objectives</w:t>
            </w:r>
          </w:p>
        </w:tc>
      </w:tr>
      <w:tr w:rsidR="00E76ECA" w:rsidRPr="00E45D80" w14:paraId="38A3B61D" w14:textId="77777777" w:rsidTr="00E76ECA">
        <w:trPr>
          <w:trHeight w:val="283"/>
        </w:trPr>
        <w:tc>
          <w:tcPr>
            <w:tcW w:w="10092" w:type="dxa"/>
            <w:gridSpan w:val="4"/>
            <w:shd w:val="clear" w:color="auto" w:fill="auto"/>
            <w:vAlign w:val="center"/>
          </w:tcPr>
          <w:p w14:paraId="5FED9616" w14:textId="77777777" w:rsidR="00E76ECA" w:rsidRPr="00E45D80" w:rsidRDefault="00E76ECA" w:rsidP="00E76ECA">
            <w:pPr>
              <w:spacing w:before="0" w:after="0" w:line="240" w:lineRule="auto"/>
              <w:rPr>
                <w:rFonts w:eastAsia="Calibri" w:cs="Arial"/>
                <w:color w:val="FFFFFF"/>
                <w:sz w:val="20"/>
                <w:szCs w:val="20"/>
              </w:rPr>
            </w:pPr>
          </w:p>
        </w:tc>
      </w:tr>
      <w:tr w:rsidR="00E76ECA" w:rsidRPr="00E45D80" w14:paraId="58AF3C42" w14:textId="77777777" w:rsidTr="00CF7796">
        <w:trPr>
          <w:trHeight w:val="340"/>
        </w:trPr>
        <w:tc>
          <w:tcPr>
            <w:tcW w:w="2665" w:type="dxa"/>
            <w:vMerge w:val="restart"/>
            <w:shd w:val="clear" w:color="auto" w:fill="29AAD1"/>
            <w:vAlign w:val="center"/>
          </w:tcPr>
          <w:p w14:paraId="7B8E547E" w14:textId="77777777" w:rsidR="00E76ECA" w:rsidRPr="00CF7796" w:rsidRDefault="00E76ECA" w:rsidP="00E76ECA">
            <w:pPr>
              <w:spacing w:before="0" w:after="0" w:line="240" w:lineRule="auto"/>
              <w:rPr>
                <w:rFonts w:eastAsia="Calibri" w:cs="Arial"/>
                <w:color w:val="FFFFFF" w:themeColor="background1"/>
                <w:sz w:val="20"/>
                <w:szCs w:val="20"/>
              </w:rPr>
            </w:pPr>
            <w:r w:rsidRPr="00BB2986">
              <w:rPr>
                <w:rFonts w:eastAsia="Calibri" w:cs="Arial"/>
                <w:sz w:val="20"/>
                <w:szCs w:val="20"/>
              </w:rPr>
              <w:t>Threats to public safety and wellbeing are resolved by a proactive and responsive police service</w:t>
            </w:r>
          </w:p>
        </w:tc>
        <w:tc>
          <w:tcPr>
            <w:tcW w:w="567" w:type="dxa"/>
            <w:shd w:val="clear" w:color="auto" w:fill="auto"/>
          </w:tcPr>
          <w:p w14:paraId="1E4C5D70" w14:textId="77777777" w:rsidR="00E76ECA" w:rsidRPr="000F7EB0" w:rsidRDefault="00E76ECA" w:rsidP="00E76ECA">
            <w:pPr>
              <w:spacing w:before="0" w:after="0" w:line="240" w:lineRule="auto"/>
              <w:rPr>
                <w:rFonts w:eastAsia="Calibri" w:cs="Arial"/>
                <w:color w:val="FFFFFF" w:themeColor="background1"/>
                <w:sz w:val="20"/>
                <w:szCs w:val="20"/>
              </w:rPr>
            </w:pPr>
          </w:p>
        </w:tc>
        <w:tc>
          <w:tcPr>
            <w:tcW w:w="284" w:type="dxa"/>
            <w:shd w:val="clear" w:color="auto" w:fill="29AAD1"/>
            <w:vAlign w:val="center"/>
          </w:tcPr>
          <w:p w14:paraId="72A9484F" w14:textId="77777777" w:rsidR="00E76ECA" w:rsidRPr="00BB2986" w:rsidRDefault="00E76ECA" w:rsidP="00E76ECA">
            <w:pPr>
              <w:spacing w:before="0" w:after="0" w:line="240" w:lineRule="auto"/>
              <w:rPr>
                <w:rFonts w:eastAsia="Calibri" w:cs="Arial"/>
                <w:sz w:val="20"/>
                <w:szCs w:val="20"/>
              </w:rPr>
            </w:pPr>
            <w:r w:rsidRPr="00BB2986">
              <w:rPr>
                <w:rFonts w:eastAsia="Calibri" w:cs="Arial"/>
                <w:sz w:val="20"/>
                <w:szCs w:val="20"/>
              </w:rPr>
              <w:t>-</w:t>
            </w:r>
          </w:p>
        </w:tc>
        <w:tc>
          <w:tcPr>
            <w:tcW w:w="6576" w:type="dxa"/>
            <w:shd w:val="clear" w:color="auto" w:fill="29AAD1"/>
            <w:vAlign w:val="center"/>
          </w:tcPr>
          <w:p w14:paraId="6347E87F" w14:textId="77777777" w:rsidR="00E76ECA" w:rsidRPr="00BB2986" w:rsidRDefault="00E76ECA" w:rsidP="00E76ECA">
            <w:pPr>
              <w:spacing w:before="0" w:after="0" w:line="240" w:lineRule="auto"/>
              <w:rPr>
                <w:rFonts w:eastAsia="Calibri" w:cs="Arial"/>
                <w:sz w:val="20"/>
                <w:szCs w:val="20"/>
              </w:rPr>
            </w:pPr>
            <w:r w:rsidRPr="00BB2986">
              <w:rPr>
                <w:rFonts w:eastAsia="Calibri" w:cs="Arial"/>
                <w:sz w:val="20"/>
                <w:szCs w:val="20"/>
              </w:rPr>
              <w:t>Keep people safe in the physical and digital world</w:t>
            </w:r>
          </w:p>
        </w:tc>
      </w:tr>
      <w:tr w:rsidR="00E76ECA" w:rsidRPr="00E45D80" w14:paraId="1DBD2EA0" w14:textId="77777777" w:rsidTr="00CF7796">
        <w:trPr>
          <w:trHeight w:val="510"/>
        </w:trPr>
        <w:tc>
          <w:tcPr>
            <w:tcW w:w="2665" w:type="dxa"/>
            <w:vMerge/>
            <w:shd w:val="clear" w:color="auto" w:fill="29AAD1"/>
          </w:tcPr>
          <w:p w14:paraId="55A78DF0" w14:textId="77777777" w:rsidR="00E76ECA" w:rsidRPr="000F7EB0" w:rsidRDefault="00E76ECA" w:rsidP="00E76ECA">
            <w:pPr>
              <w:spacing w:before="0" w:after="0" w:line="240" w:lineRule="auto"/>
              <w:rPr>
                <w:rFonts w:eastAsia="Calibri" w:cs="Arial"/>
                <w:color w:val="FFFFFF" w:themeColor="background1"/>
                <w:sz w:val="20"/>
                <w:szCs w:val="20"/>
              </w:rPr>
            </w:pPr>
          </w:p>
        </w:tc>
        <w:tc>
          <w:tcPr>
            <w:tcW w:w="567" w:type="dxa"/>
            <w:shd w:val="clear" w:color="auto" w:fill="auto"/>
          </w:tcPr>
          <w:p w14:paraId="17FD017D" w14:textId="7394AA70" w:rsidR="00E76ECA" w:rsidRPr="000F7EB0" w:rsidRDefault="00E76ECA" w:rsidP="00E76ECA">
            <w:pPr>
              <w:spacing w:before="0" w:after="0" w:line="240" w:lineRule="auto"/>
              <w:rPr>
                <w:rFonts w:eastAsia="Calibri" w:cs="Arial"/>
                <w:color w:val="FFFFFF" w:themeColor="background1"/>
                <w:sz w:val="20"/>
                <w:szCs w:val="20"/>
              </w:rPr>
            </w:pPr>
          </w:p>
        </w:tc>
        <w:tc>
          <w:tcPr>
            <w:tcW w:w="284" w:type="dxa"/>
            <w:shd w:val="clear" w:color="auto" w:fill="29AAD1"/>
          </w:tcPr>
          <w:p w14:paraId="602ECEF5" w14:textId="77777777" w:rsidR="00E76ECA" w:rsidRPr="00BB2986" w:rsidRDefault="00E76ECA" w:rsidP="00E76ECA">
            <w:pPr>
              <w:spacing w:before="0" w:after="0" w:line="240" w:lineRule="auto"/>
              <w:rPr>
                <w:rFonts w:eastAsia="Calibri" w:cs="Arial"/>
                <w:sz w:val="20"/>
                <w:szCs w:val="20"/>
              </w:rPr>
            </w:pPr>
            <w:r w:rsidRPr="00BB2986">
              <w:rPr>
                <w:rFonts w:eastAsia="Calibri" w:cs="Arial"/>
                <w:sz w:val="20"/>
                <w:szCs w:val="20"/>
              </w:rPr>
              <w:t>-</w:t>
            </w:r>
          </w:p>
        </w:tc>
        <w:tc>
          <w:tcPr>
            <w:tcW w:w="6576" w:type="dxa"/>
            <w:shd w:val="clear" w:color="auto" w:fill="29AAD1"/>
          </w:tcPr>
          <w:p w14:paraId="7EC66FD5" w14:textId="77777777" w:rsidR="00E76ECA" w:rsidRPr="00BB2986" w:rsidRDefault="00E76ECA" w:rsidP="00E76ECA">
            <w:pPr>
              <w:spacing w:before="0" w:after="0" w:line="240" w:lineRule="auto"/>
              <w:rPr>
                <w:rFonts w:eastAsia="Calibri" w:cs="Arial"/>
                <w:sz w:val="20"/>
                <w:szCs w:val="20"/>
              </w:rPr>
            </w:pPr>
            <w:r w:rsidRPr="00BB2986">
              <w:rPr>
                <w:rFonts w:eastAsia="Calibri" w:cs="Arial"/>
                <w:sz w:val="20"/>
                <w:szCs w:val="20"/>
              </w:rPr>
              <w:t>Design services jointly to tackle complex public safety and wellbeing challenges</w:t>
            </w:r>
          </w:p>
        </w:tc>
      </w:tr>
      <w:tr w:rsidR="00E76ECA" w:rsidRPr="00E45D80" w14:paraId="6A83288B" w14:textId="77777777" w:rsidTr="00CF7796">
        <w:trPr>
          <w:trHeight w:val="340"/>
        </w:trPr>
        <w:tc>
          <w:tcPr>
            <w:tcW w:w="2665" w:type="dxa"/>
            <w:vMerge/>
            <w:shd w:val="clear" w:color="auto" w:fill="29AAD1"/>
          </w:tcPr>
          <w:p w14:paraId="7DB2677E" w14:textId="77777777" w:rsidR="00E76ECA" w:rsidRPr="000F7EB0" w:rsidRDefault="00E76ECA" w:rsidP="00E76ECA">
            <w:pPr>
              <w:spacing w:before="0" w:after="0" w:line="240" w:lineRule="auto"/>
              <w:rPr>
                <w:rFonts w:eastAsia="Calibri" w:cs="Arial"/>
                <w:color w:val="FFFFFF" w:themeColor="background1"/>
                <w:sz w:val="20"/>
                <w:szCs w:val="20"/>
              </w:rPr>
            </w:pPr>
          </w:p>
        </w:tc>
        <w:tc>
          <w:tcPr>
            <w:tcW w:w="567" w:type="dxa"/>
            <w:shd w:val="clear" w:color="auto" w:fill="auto"/>
          </w:tcPr>
          <w:p w14:paraId="403955E4" w14:textId="77777777" w:rsidR="00E76ECA" w:rsidRPr="000F7EB0" w:rsidRDefault="00E76ECA" w:rsidP="00E76ECA">
            <w:pPr>
              <w:spacing w:before="0" w:after="0" w:line="240" w:lineRule="auto"/>
              <w:rPr>
                <w:rFonts w:eastAsia="Calibri" w:cs="Arial"/>
                <w:color w:val="FFFFFF" w:themeColor="background1"/>
                <w:sz w:val="20"/>
                <w:szCs w:val="20"/>
              </w:rPr>
            </w:pPr>
          </w:p>
        </w:tc>
        <w:tc>
          <w:tcPr>
            <w:tcW w:w="284" w:type="dxa"/>
            <w:shd w:val="clear" w:color="auto" w:fill="29AAD1"/>
          </w:tcPr>
          <w:p w14:paraId="72A0F540" w14:textId="77777777" w:rsidR="00E76ECA" w:rsidRPr="00BB2986" w:rsidRDefault="00E76ECA" w:rsidP="00E76ECA">
            <w:pPr>
              <w:spacing w:before="0" w:after="0" w:line="240" w:lineRule="auto"/>
              <w:rPr>
                <w:rFonts w:eastAsia="Calibri" w:cs="Arial"/>
                <w:sz w:val="20"/>
                <w:szCs w:val="20"/>
              </w:rPr>
            </w:pPr>
            <w:r w:rsidRPr="00BB2986">
              <w:rPr>
                <w:rFonts w:eastAsia="Calibri" w:cs="Arial"/>
                <w:sz w:val="20"/>
                <w:szCs w:val="20"/>
              </w:rPr>
              <w:t>-</w:t>
            </w:r>
          </w:p>
        </w:tc>
        <w:tc>
          <w:tcPr>
            <w:tcW w:w="6576" w:type="dxa"/>
            <w:shd w:val="clear" w:color="auto" w:fill="29AAD1"/>
          </w:tcPr>
          <w:p w14:paraId="23ED87E5" w14:textId="77777777" w:rsidR="00E76ECA" w:rsidRPr="00BB2986" w:rsidRDefault="00E76ECA" w:rsidP="00E76ECA">
            <w:pPr>
              <w:spacing w:before="0" w:after="0" w:line="240" w:lineRule="auto"/>
              <w:rPr>
                <w:rFonts w:eastAsia="Calibri" w:cs="Arial"/>
                <w:sz w:val="20"/>
                <w:szCs w:val="20"/>
              </w:rPr>
            </w:pPr>
            <w:r w:rsidRPr="00BB2986">
              <w:rPr>
                <w:rFonts w:eastAsia="Calibri" w:cs="Arial"/>
                <w:sz w:val="20"/>
                <w:szCs w:val="20"/>
              </w:rPr>
              <w:t>Support policing through proactive prevention</w:t>
            </w:r>
          </w:p>
        </w:tc>
      </w:tr>
      <w:tr w:rsidR="00E76ECA" w:rsidRPr="00E45D80" w14:paraId="44336CD6" w14:textId="77777777" w:rsidTr="00E76ECA">
        <w:trPr>
          <w:trHeight w:val="283"/>
        </w:trPr>
        <w:tc>
          <w:tcPr>
            <w:tcW w:w="10092" w:type="dxa"/>
            <w:gridSpan w:val="4"/>
            <w:shd w:val="clear" w:color="auto" w:fill="auto"/>
            <w:vAlign w:val="center"/>
          </w:tcPr>
          <w:p w14:paraId="44B739DB" w14:textId="77777777" w:rsidR="00E76ECA" w:rsidRPr="00E45D80" w:rsidRDefault="00E76ECA" w:rsidP="00E76ECA">
            <w:pPr>
              <w:spacing w:before="0" w:after="0" w:line="240" w:lineRule="auto"/>
              <w:rPr>
                <w:rFonts w:eastAsia="Calibri" w:cs="Arial"/>
                <w:color w:val="FFFFFF"/>
                <w:sz w:val="20"/>
                <w:szCs w:val="20"/>
              </w:rPr>
            </w:pPr>
          </w:p>
        </w:tc>
      </w:tr>
      <w:tr w:rsidR="00E76ECA" w:rsidRPr="00E45D80" w14:paraId="195A7DE8" w14:textId="77777777" w:rsidTr="00CF7796">
        <w:trPr>
          <w:trHeight w:val="510"/>
        </w:trPr>
        <w:tc>
          <w:tcPr>
            <w:tcW w:w="2665" w:type="dxa"/>
            <w:vMerge w:val="restart"/>
            <w:tcBorders>
              <w:bottom w:val="single" w:sz="4" w:space="0" w:color="auto"/>
            </w:tcBorders>
            <w:shd w:val="clear" w:color="auto" w:fill="3269AD"/>
            <w:vAlign w:val="center"/>
          </w:tcPr>
          <w:p w14:paraId="03E32543" w14:textId="77777777" w:rsidR="00E76ECA" w:rsidRPr="00E45D80" w:rsidRDefault="00E76ECA" w:rsidP="00E76ECA">
            <w:pPr>
              <w:spacing w:before="0" w:after="0" w:line="240" w:lineRule="auto"/>
              <w:rPr>
                <w:rFonts w:eastAsia="Calibri" w:cs="Arial"/>
                <w:color w:val="FFFFFF"/>
                <w:sz w:val="20"/>
                <w:szCs w:val="20"/>
              </w:rPr>
            </w:pPr>
            <w:r w:rsidRPr="00E45D80">
              <w:rPr>
                <w:rFonts w:eastAsia="Calibri" w:cs="Arial"/>
                <w:color w:val="FFFFFF"/>
                <w:sz w:val="20"/>
                <w:szCs w:val="20"/>
              </w:rPr>
              <w:t>The needs of local communities are addressed through effective service delivery</w:t>
            </w:r>
          </w:p>
        </w:tc>
        <w:tc>
          <w:tcPr>
            <w:tcW w:w="567" w:type="dxa"/>
            <w:shd w:val="clear" w:color="auto" w:fill="auto"/>
          </w:tcPr>
          <w:p w14:paraId="3C1934CF" w14:textId="77777777" w:rsidR="00E76ECA" w:rsidRPr="00E45D80" w:rsidRDefault="00E76ECA" w:rsidP="00E76ECA">
            <w:pPr>
              <w:spacing w:before="0" w:after="0" w:line="240" w:lineRule="auto"/>
              <w:rPr>
                <w:rFonts w:eastAsia="Calibri" w:cs="Arial"/>
                <w:color w:val="FFFFFF"/>
                <w:sz w:val="20"/>
                <w:szCs w:val="20"/>
              </w:rPr>
            </w:pPr>
          </w:p>
        </w:tc>
        <w:tc>
          <w:tcPr>
            <w:tcW w:w="284" w:type="dxa"/>
            <w:shd w:val="clear" w:color="auto" w:fill="3269AD"/>
          </w:tcPr>
          <w:p w14:paraId="2E0BCF41" w14:textId="77777777" w:rsidR="00E76ECA" w:rsidRPr="00E45D80" w:rsidRDefault="00E76ECA" w:rsidP="00E76ECA">
            <w:pPr>
              <w:spacing w:before="0" w:after="0" w:line="240" w:lineRule="auto"/>
              <w:rPr>
                <w:rFonts w:eastAsia="Calibri" w:cs="Arial"/>
                <w:color w:val="FFFFFF"/>
                <w:sz w:val="20"/>
                <w:szCs w:val="20"/>
              </w:rPr>
            </w:pPr>
            <w:r w:rsidRPr="00E45D80">
              <w:rPr>
                <w:rFonts w:eastAsia="Calibri" w:cs="Arial"/>
                <w:color w:val="FFFFFF"/>
                <w:sz w:val="20"/>
                <w:szCs w:val="20"/>
              </w:rPr>
              <w:t>-</w:t>
            </w:r>
          </w:p>
        </w:tc>
        <w:tc>
          <w:tcPr>
            <w:tcW w:w="6576" w:type="dxa"/>
            <w:shd w:val="clear" w:color="auto" w:fill="3269AD"/>
          </w:tcPr>
          <w:p w14:paraId="161AB33A" w14:textId="77777777" w:rsidR="00E76ECA" w:rsidRPr="00E45D80" w:rsidRDefault="00E76ECA" w:rsidP="00E76ECA">
            <w:pPr>
              <w:spacing w:before="0" w:after="0" w:line="240" w:lineRule="auto"/>
              <w:rPr>
                <w:rFonts w:eastAsia="Calibri" w:cs="Arial"/>
                <w:color w:val="FFFFFF"/>
                <w:sz w:val="20"/>
                <w:szCs w:val="20"/>
              </w:rPr>
            </w:pPr>
            <w:r w:rsidRPr="00E45D80">
              <w:rPr>
                <w:rFonts w:eastAsia="Calibri" w:cs="Arial"/>
                <w:color w:val="FFFFFF"/>
                <w:sz w:val="20"/>
                <w:szCs w:val="20"/>
              </w:rPr>
              <w:t>Understand our communities and deliver the right mix of services to meet their needs</w:t>
            </w:r>
          </w:p>
        </w:tc>
      </w:tr>
      <w:tr w:rsidR="00E76ECA" w:rsidRPr="00E45D80" w14:paraId="2C1274B2" w14:textId="77777777" w:rsidTr="00CF7796">
        <w:trPr>
          <w:trHeight w:val="510"/>
        </w:trPr>
        <w:tc>
          <w:tcPr>
            <w:tcW w:w="2665" w:type="dxa"/>
            <w:vMerge/>
            <w:tcBorders>
              <w:bottom w:val="single" w:sz="4" w:space="0" w:color="auto"/>
            </w:tcBorders>
            <w:shd w:val="clear" w:color="auto" w:fill="3269AD"/>
          </w:tcPr>
          <w:p w14:paraId="3F9CEBD9" w14:textId="77777777" w:rsidR="00E76ECA" w:rsidRPr="00E45D80" w:rsidRDefault="00E76ECA" w:rsidP="00E76ECA">
            <w:pPr>
              <w:spacing w:before="0" w:after="0" w:line="240" w:lineRule="auto"/>
              <w:rPr>
                <w:rFonts w:eastAsia="Calibri" w:cs="Arial"/>
                <w:sz w:val="20"/>
                <w:szCs w:val="20"/>
              </w:rPr>
            </w:pPr>
          </w:p>
        </w:tc>
        <w:tc>
          <w:tcPr>
            <w:tcW w:w="567" w:type="dxa"/>
            <w:shd w:val="clear" w:color="auto" w:fill="auto"/>
          </w:tcPr>
          <w:p w14:paraId="0210B103" w14:textId="295B8B44" w:rsidR="00E76ECA" w:rsidRPr="00E45D80" w:rsidRDefault="00E76ECA" w:rsidP="00E76ECA">
            <w:pPr>
              <w:spacing w:before="0" w:after="0" w:line="240" w:lineRule="auto"/>
              <w:rPr>
                <w:rFonts w:eastAsia="Calibri" w:cs="Arial"/>
                <w:color w:val="FFFFFF"/>
                <w:sz w:val="20"/>
                <w:szCs w:val="20"/>
              </w:rPr>
            </w:pPr>
          </w:p>
        </w:tc>
        <w:tc>
          <w:tcPr>
            <w:tcW w:w="284" w:type="dxa"/>
            <w:shd w:val="clear" w:color="auto" w:fill="3269AD"/>
          </w:tcPr>
          <w:p w14:paraId="55637703" w14:textId="77777777" w:rsidR="00E76ECA" w:rsidRPr="00E45D80" w:rsidRDefault="00E76ECA" w:rsidP="00E76ECA">
            <w:pPr>
              <w:spacing w:before="0" w:after="0" w:line="240" w:lineRule="auto"/>
              <w:rPr>
                <w:rFonts w:eastAsia="Calibri" w:cs="Arial"/>
                <w:color w:val="FFFFFF"/>
                <w:sz w:val="20"/>
                <w:szCs w:val="20"/>
              </w:rPr>
            </w:pPr>
            <w:r w:rsidRPr="00E45D80">
              <w:rPr>
                <w:rFonts w:eastAsia="Calibri" w:cs="Arial"/>
                <w:color w:val="FFFFFF"/>
                <w:sz w:val="20"/>
                <w:szCs w:val="20"/>
              </w:rPr>
              <w:t>-</w:t>
            </w:r>
          </w:p>
        </w:tc>
        <w:tc>
          <w:tcPr>
            <w:tcW w:w="6576" w:type="dxa"/>
            <w:shd w:val="clear" w:color="auto" w:fill="3269AD"/>
          </w:tcPr>
          <w:p w14:paraId="63D98D66" w14:textId="77777777" w:rsidR="00E76ECA" w:rsidRPr="00E45D80" w:rsidRDefault="00E76ECA" w:rsidP="00E76ECA">
            <w:pPr>
              <w:spacing w:before="0" w:after="0" w:line="240" w:lineRule="auto"/>
              <w:rPr>
                <w:rFonts w:eastAsia="Calibri" w:cs="Arial"/>
                <w:color w:val="FFFFFF"/>
                <w:sz w:val="20"/>
                <w:szCs w:val="20"/>
              </w:rPr>
            </w:pPr>
            <w:r w:rsidRPr="00E45D80">
              <w:rPr>
                <w:rFonts w:eastAsia="Calibri" w:cs="Arial"/>
                <w:color w:val="FFFFFF"/>
                <w:sz w:val="20"/>
                <w:szCs w:val="20"/>
              </w:rPr>
              <w:t>Support our communities through a blend of local and national expertise</w:t>
            </w:r>
          </w:p>
        </w:tc>
      </w:tr>
      <w:tr w:rsidR="00E76ECA" w:rsidRPr="00E45D80" w14:paraId="5CB5B60A" w14:textId="77777777" w:rsidTr="00CF7796">
        <w:trPr>
          <w:trHeight w:val="340"/>
        </w:trPr>
        <w:tc>
          <w:tcPr>
            <w:tcW w:w="2665" w:type="dxa"/>
            <w:vMerge/>
            <w:tcBorders>
              <w:bottom w:val="single" w:sz="4" w:space="0" w:color="auto"/>
            </w:tcBorders>
            <w:shd w:val="clear" w:color="auto" w:fill="3269AD"/>
          </w:tcPr>
          <w:p w14:paraId="5B13A70E" w14:textId="77777777" w:rsidR="00E76ECA" w:rsidRPr="00E45D80" w:rsidRDefault="00E76ECA" w:rsidP="00E76ECA">
            <w:pPr>
              <w:spacing w:before="0" w:after="0" w:line="240" w:lineRule="auto"/>
              <w:rPr>
                <w:rFonts w:eastAsia="Calibri" w:cs="Arial"/>
                <w:sz w:val="20"/>
                <w:szCs w:val="20"/>
              </w:rPr>
            </w:pPr>
          </w:p>
        </w:tc>
        <w:tc>
          <w:tcPr>
            <w:tcW w:w="567" w:type="dxa"/>
            <w:shd w:val="clear" w:color="auto" w:fill="auto"/>
          </w:tcPr>
          <w:p w14:paraId="1BFCAE7D" w14:textId="77777777" w:rsidR="00E76ECA" w:rsidRPr="00E45D80" w:rsidRDefault="00E76ECA" w:rsidP="00E76ECA">
            <w:pPr>
              <w:spacing w:before="0" w:after="0" w:line="240" w:lineRule="auto"/>
              <w:rPr>
                <w:rFonts w:eastAsia="Calibri" w:cs="Arial"/>
                <w:color w:val="FFFFFF"/>
                <w:sz w:val="20"/>
                <w:szCs w:val="20"/>
              </w:rPr>
            </w:pPr>
          </w:p>
        </w:tc>
        <w:tc>
          <w:tcPr>
            <w:tcW w:w="284" w:type="dxa"/>
            <w:shd w:val="clear" w:color="auto" w:fill="3269AD"/>
          </w:tcPr>
          <w:p w14:paraId="47BEA230" w14:textId="77777777" w:rsidR="00E76ECA" w:rsidRPr="00E45D80" w:rsidRDefault="00E76ECA" w:rsidP="00E76ECA">
            <w:pPr>
              <w:spacing w:before="0" w:after="0" w:line="240" w:lineRule="auto"/>
              <w:rPr>
                <w:rFonts w:eastAsia="Calibri" w:cs="Arial"/>
                <w:color w:val="FFFFFF"/>
                <w:sz w:val="20"/>
                <w:szCs w:val="20"/>
              </w:rPr>
            </w:pPr>
            <w:r w:rsidRPr="00E45D80">
              <w:rPr>
                <w:rFonts w:eastAsia="Calibri" w:cs="Arial"/>
                <w:color w:val="FFFFFF"/>
                <w:sz w:val="20"/>
                <w:szCs w:val="20"/>
              </w:rPr>
              <w:t>-</w:t>
            </w:r>
          </w:p>
        </w:tc>
        <w:tc>
          <w:tcPr>
            <w:tcW w:w="6576" w:type="dxa"/>
            <w:shd w:val="clear" w:color="auto" w:fill="3269AD"/>
          </w:tcPr>
          <w:p w14:paraId="7760EECA" w14:textId="77777777" w:rsidR="00E76ECA" w:rsidRPr="00E45D80" w:rsidRDefault="00E76ECA" w:rsidP="00E76ECA">
            <w:pPr>
              <w:spacing w:before="0" w:after="0" w:line="240" w:lineRule="auto"/>
              <w:rPr>
                <w:rFonts w:eastAsia="Calibri" w:cs="Arial"/>
                <w:color w:val="FFFFFF"/>
                <w:sz w:val="20"/>
                <w:szCs w:val="20"/>
              </w:rPr>
            </w:pPr>
            <w:r w:rsidRPr="00E45D80">
              <w:rPr>
                <w:rFonts w:eastAsia="Calibri" w:cs="Arial"/>
                <w:color w:val="FFFFFF"/>
                <w:sz w:val="20"/>
                <w:szCs w:val="20"/>
              </w:rPr>
              <w:t>Support the changing nature of communities</w:t>
            </w:r>
          </w:p>
        </w:tc>
      </w:tr>
      <w:tr w:rsidR="00E76ECA" w:rsidRPr="00E45D80" w14:paraId="4E94D79C" w14:textId="77777777" w:rsidTr="00E76ECA">
        <w:trPr>
          <w:trHeight w:val="283"/>
        </w:trPr>
        <w:tc>
          <w:tcPr>
            <w:tcW w:w="10092" w:type="dxa"/>
            <w:gridSpan w:val="4"/>
            <w:shd w:val="clear" w:color="auto" w:fill="auto"/>
            <w:vAlign w:val="center"/>
          </w:tcPr>
          <w:p w14:paraId="421584CF" w14:textId="77777777" w:rsidR="00E76ECA" w:rsidRPr="00E45D80" w:rsidRDefault="00E76ECA" w:rsidP="00E76ECA">
            <w:pPr>
              <w:spacing w:before="0" w:after="0" w:line="240" w:lineRule="auto"/>
              <w:rPr>
                <w:rFonts w:eastAsia="Calibri" w:cs="Arial"/>
                <w:color w:val="FFFFFF"/>
                <w:sz w:val="20"/>
                <w:szCs w:val="20"/>
              </w:rPr>
            </w:pPr>
          </w:p>
        </w:tc>
      </w:tr>
      <w:tr w:rsidR="00E76ECA" w:rsidRPr="00E45D80" w14:paraId="23489E8F" w14:textId="77777777" w:rsidTr="00CF7796">
        <w:trPr>
          <w:trHeight w:val="510"/>
        </w:trPr>
        <w:tc>
          <w:tcPr>
            <w:tcW w:w="2665" w:type="dxa"/>
            <w:vMerge w:val="restart"/>
            <w:shd w:val="clear" w:color="auto" w:fill="E76B0A"/>
            <w:vAlign w:val="center"/>
          </w:tcPr>
          <w:p w14:paraId="3F20506B" w14:textId="77777777" w:rsidR="00E76ECA" w:rsidRPr="00CF7796" w:rsidRDefault="00E76ECA" w:rsidP="00E76ECA">
            <w:pPr>
              <w:spacing w:before="0" w:after="0" w:line="240" w:lineRule="auto"/>
              <w:rPr>
                <w:rFonts w:eastAsia="Calibri" w:cs="Arial"/>
                <w:color w:val="FFFFFF" w:themeColor="background1"/>
                <w:sz w:val="20"/>
                <w:szCs w:val="20"/>
              </w:rPr>
            </w:pPr>
            <w:r w:rsidRPr="00BB2986">
              <w:rPr>
                <w:rFonts w:eastAsia="Calibri" w:cs="Arial"/>
                <w:sz w:val="20"/>
                <w:szCs w:val="20"/>
              </w:rPr>
              <w:t>The public, communities and partners are engaged, involved and have confidence in policing</w:t>
            </w:r>
          </w:p>
        </w:tc>
        <w:tc>
          <w:tcPr>
            <w:tcW w:w="567" w:type="dxa"/>
            <w:shd w:val="clear" w:color="auto" w:fill="auto"/>
          </w:tcPr>
          <w:p w14:paraId="55B9DD0E" w14:textId="77777777" w:rsidR="00E76ECA" w:rsidRPr="000F7EB0" w:rsidRDefault="00E76ECA" w:rsidP="00E76ECA">
            <w:pPr>
              <w:spacing w:before="0" w:after="0" w:line="240" w:lineRule="auto"/>
              <w:rPr>
                <w:rFonts w:eastAsia="Calibri" w:cs="Arial"/>
                <w:color w:val="FFFFFF" w:themeColor="background1"/>
                <w:sz w:val="20"/>
                <w:szCs w:val="20"/>
              </w:rPr>
            </w:pPr>
          </w:p>
        </w:tc>
        <w:tc>
          <w:tcPr>
            <w:tcW w:w="284" w:type="dxa"/>
            <w:shd w:val="clear" w:color="auto" w:fill="E76B0A"/>
          </w:tcPr>
          <w:p w14:paraId="5662472A" w14:textId="77777777" w:rsidR="00E76ECA" w:rsidRPr="00BB2986" w:rsidRDefault="00E76ECA" w:rsidP="00E76ECA">
            <w:pPr>
              <w:spacing w:before="0" w:after="0" w:line="240" w:lineRule="auto"/>
              <w:rPr>
                <w:rFonts w:eastAsia="Calibri" w:cs="Arial"/>
                <w:sz w:val="20"/>
                <w:szCs w:val="20"/>
              </w:rPr>
            </w:pPr>
            <w:r w:rsidRPr="00BB2986">
              <w:rPr>
                <w:rFonts w:eastAsia="Calibri" w:cs="Arial"/>
                <w:sz w:val="20"/>
                <w:szCs w:val="20"/>
              </w:rPr>
              <w:t>-</w:t>
            </w:r>
          </w:p>
        </w:tc>
        <w:tc>
          <w:tcPr>
            <w:tcW w:w="6576" w:type="dxa"/>
            <w:shd w:val="clear" w:color="auto" w:fill="E76B0A"/>
          </w:tcPr>
          <w:p w14:paraId="1350F160" w14:textId="77777777" w:rsidR="00E76ECA" w:rsidRPr="00BB2986" w:rsidRDefault="00E76ECA" w:rsidP="00E76ECA">
            <w:pPr>
              <w:spacing w:before="0" w:after="0" w:line="240" w:lineRule="auto"/>
              <w:rPr>
                <w:rFonts w:eastAsia="Calibri" w:cs="Arial"/>
                <w:sz w:val="20"/>
                <w:szCs w:val="20"/>
              </w:rPr>
            </w:pPr>
            <w:r w:rsidRPr="00BB2986">
              <w:rPr>
                <w:rFonts w:eastAsia="Calibri" w:cs="Arial"/>
                <w:sz w:val="20"/>
                <w:szCs w:val="20"/>
              </w:rPr>
              <w:t>Embed the ethical and privacy considerations that are integral to policing and protection into every aspect of the service</w:t>
            </w:r>
          </w:p>
        </w:tc>
      </w:tr>
      <w:tr w:rsidR="00E76ECA" w:rsidRPr="00E45D80" w14:paraId="272C8D51" w14:textId="77777777" w:rsidTr="00CF7796">
        <w:trPr>
          <w:trHeight w:val="510"/>
        </w:trPr>
        <w:tc>
          <w:tcPr>
            <w:tcW w:w="2665" w:type="dxa"/>
            <w:vMerge/>
            <w:shd w:val="clear" w:color="auto" w:fill="E76B0A"/>
          </w:tcPr>
          <w:p w14:paraId="33F78DA5" w14:textId="77777777" w:rsidR="00E76ECA" w:rsidRPr="000F7EB0" w:rsidRDefault="00E76ECA" w:rsidP="00E76ECA">
            <w:pPr>
              <w:spacing w:before="0" w:after="0" w:line="240" w:lineRule="auto"/>
              <w:rPr>
                <w:rFonts w:eastAsia="Calibri" w:cs="Arial"/>
                <w:color w:val="FFFFFF" w:themeColor="background1"/>
                <w:sz w:val="20"/>
                <w:szCs w:val="20"/>
              </w:rPr>
            </w:pPr>
          </w:p>
        </w:tc>
        <w:tc>
          <w:tcPr>
            <w:tcW w:w="567" w:type="dxa"/>
            <w:shd w:val="clear" w:color="auto" w:fill="auto"/>
          </w:tcPr>
          <w:p w14:paraId="3B01C789" w14:textId="63E2A311" w:rsidR="00E76ECA" w:rsidRPr="000F7EB0" w:rsidRDefault="00E76ECA" w:rsidP="00E76ECA">
            <w:pPr>
              <w:spacing w:before="0" w:after="0" w:line="240" w:lineRule="auto"/>
              <w:rPr>
                <w:rFonts w:eastAsia="Calibri" w:cs="Arial"/>
                <w:color w:val="FFFFFF" w:themeColor="background1"/>
                <w:sz w:val="20"/>
                <w:szCs w:val="20"/>
              </w:rPr>
            </w:pPr>
          </w:p>
        </w:tc>
        <w:tc>
          <w:tcPr>
            <w:tcW w:w="284" w:type="dxa"/>
            <w:shd w:val="clear" w:color="auto" w:fill="E76B0A"/>
          </w:tcPr>
          <w:p w14:paraId="4E50AF61" w14:textId="77777777" w:rsidR="00E76ECA" w:rsidRPr="00BB2986" w:rsidRDefault="00E76ECA" w:rsidP="00E76ECA">
            <w:pPr>
              <w:spacing w:before="0" w:after="0" w:line="240" w:lineRule="auto"/>
              <w:rPr>
                <w:rFonts w:eastAsia="Calibri" w:cs="Arial"/>
                <w:sz w:val="20"/>
                <w:szCs w:val="20"/>
              </w:rPr>
            </w:pPr>
            <w:r w:rsidRPr="00BB2986">
              <w:rPr>
                <w:rFonts w:eastAsia="Calibri" w:cs="Arial"/>
                <w:sz w:val="20"/>
                <w:szCs w:val="20"/>
              </w:rPr>
              <w:t>-</w:t>
            </w:r>
          </w:p>
        </w:tc>
        <w:tc>
          <w:tcPr>
            <w:tcW w:w="6576" w:type="dxa"/>
            <w:shd w:val="clear" w:color="auto" w:fill="E76B0A"/>
          </w:tcPr>
          <w:p w14:paraId="08650990" w14:textId="77777777" w:rsidR="00E76ECA" w:rsidRPr="00BB2986" w:rsidRDefault="00E76ECA" w:rsidP="00E76ECA">
            <w:pPr>
              <w:spacing w:before="0" w:after="0" w:line="240" w:lineRule="auto"/>
              <w:rPr>
                <w:rFonts w:eastAsia="Calibri" w:cs="Arial"/>
                <w:sz w:val="20"/>
                <w:szCs w:val="20"/>
              </w:rPr>
            </w:pPr>
            <w:r w:rsidRPr="00BB2986">
              <w:rPr>
                <w:rFonts w:eastAsia="Calibri" w:cs="Arial"/>
                <w:sz w:val="20"/>
                <w:szCs w:val="20"/>
              </w:rPr>
              <w:t>Protect the public and promote wellbeing across Scotland by providing services that are relevant, accessible and effective</w:t>
            </w:r>
          </w:p>
        </w:tc>
      </w:tr>
      <w:tr w:rsidR="00E76ECA" w:rsidRPr="00E45D80" w14:paraId="4F19583B" w14:textId="77777777" w:rsidTr="00CF7796">
        <w:trPr>
          <w:trHeight w:val="510"/>
        </w:trPr>
        <w:tc>
          <w:tcPr>
            <w:tcW w:w="2665" w:type="dxa"/>
            <w:vMerge/>
            <w:shd w:val="clear" w:color="auto" w:fill="E76B0A"/>
          </w:tcPr>
          <w:p w14:paraId="73361226" w14:textId="77777777" w:rsidR="00E76ECA" w:rsidRPr="000F7EB0" w:rsidRDefault="00E76ECA" w:rsidP="00E76ECA">
            <w:pPr>
              <w:spacing w:before="0" w:after="0" w:line="240" w:lineRule="auto"/>
              <w:rPr>
                <w:rFonts w:eastAsia="Calibri" w:cs="Arial"/>
                <w:color w:val="FFFFFF" w:themeColor="background1"/>
                <w:sz w:val="20"/>
                <w:szCs w:val="20"/>
              </w:rPr>
            </w:pPr>
          </w:p>
        </w:tc>
        <w:tc>
          <w:tcPr>
            <w:tcW w:w="567" w:type="dxa"/>
            <w:shd w:val="clear" w:color="auto" w:fill="auto"/>
          </w:tcPr>
          <w:p w14:paraId="7C631EB5" w14:textId="77777777" w:rsidR="00E76ECA" w:rsidRPr="000F7EB0" w:rsidRDefault="00E76ECA" w:rsidP="00E76ECA">
            <w:pPr>
              <w:spacing w:before="0" w:after="0" w:line="240" w:lineRule="auto"/>
              <w:rPr>
                <w:rFonts w:eastAsia="Calibri" w:cs="Arial"/>
                <w:color w:val="FFFFFF" w:themeColor="background1"/>
                <w:sz w:val="20"/>
                <w:szCs w:val="20"/>
              </w:rPr>
            </w:pPr>
          </w:p>
        </w:tc>
        <w:tc>
          <w:tcPr>
            <w:tcW w:w="284" w:type="dxa"/>
            <w:shd w:val="clear" w:color="auto" w:fill="E76B0A"/>
          </w:tcPr>
          <w:p w14:paraId="019DFCF8" w14:textId="77777777" w:rsidR="00E76ECA" w:rsidRPr="00BB2986" w:rsidRDefault="00E76ECA" w:rsidP="00E76ECA">
            <w:pPr>
              <w:spacing w:before="0" w:after="0" w:line="240" w:lineRule="auto"/>
              <w:rPr>
                <w:rFonts w:eastAsia="Calibri" w:cs="Arial"/>
                <w:sz w:val="20"/>
                <w:szCs w:val="20"/>
              </w:rPr>
            </w:pPr>
            <w:r w:rsidRPr="00BB2986">
              <w:rPr>
                <w:rFonts w:eastAsia="Calibri" w:cs="Arial"/>
                <w:sz w:val="20"/>
                <w:szCs w:val="20"/>
              </w:rPr>
              <w:t>-</w:t>
            </w:r>
          </w:p>
        </w:tc>
        <w:tc>
          <w:tcPr>
            <w:tcW w:w="6576" w:type="dxa"/>
            <w:shd w:val="clear" w:color="auto" w:fill="E76B0A"/>
          </w:tcPr>
          <w:p w14:paraId="24FE6946" w14:textId="77777777" w:rsidR="00E76ECA" w:rsidRPr="00BB2986" w:rsidRDefault="00E76ECA" w:rsidP="00E76ECA">
            <w:pPr>
              <w:spacing w:before="0" w:after="0" w:line="240" w:lineRule="auto"/>
              <w:rPr>
                <w:rFonts w:eastAsia="Calibri" w:cs="Arial"/>
                <w:sz w:val="20"/>
                <w:szCs w:val="20"/>
              </w:rPr>
            </w:pPr>
            <w:r w:rsidRPr="00BB2986">
              <w:rPr>
                <w:rFonts w:eastAsia="Calibri" w:cs="Arial"/>
                <w:sz w:val="20"/>
                <w:szCs w:val="20"/>
              </w:rPr>
              <w:t>Work with local groups and public, third and private sector organisations to support our communities</w:t>
            </w:r>
          </w:p>
        </w:tc>
      </w:tr>
      <w:tr w:rsidR="00E76ECA" w:rsidRPr="00E45D80" w14:paraId="217D56D4" w14:textId="77777777" w:rsidTr="00E76ECA">
        <w:trPr>
          <w:trHeight w:val="283"/>
        </w:trPr>
        <w:tc>
          <w:tcPr>
            <w:tcW w:w="10092" w:type="dxa"/>
            <w:gridSpan w:val="4"/>
            <w:shd w:val="clear" w:color="auto" w:fill="auto"/>
            <w:vAlign w:val="center"/>
          </w:tcPr>
          <w:p w14:paraId="1A5A9E73" w14:textId="77777777" w:rsidR="00E76ECA" w:rsidRPr="00E45D80" w:rsidRDefault="00E76ECA" w:rsidP="00E76ECA">
            <w:pPr>
              <w:spacing w:before="0" w:after="0" w:line="240" w:lineRule="auto"/>
              <w:rPr>
                <w:rFonts w:eastAsia="Calibri" w:cs="Arial"/>
                <w:color w:val="FFFFFF"/>
                <w:sz w:val="20"/>
                <w:szCs w:val="20"/>
              </w:rPr>
            </w:pPr>
          </w:p>
        </w:tc>
      </w:tr>
      <w:tr w:rsidR="00E76ECA" w:rsidRPr="00E45D80" w14:paraId="4C911B37" w14:textId="77777777" w:rsidTr="00CF7796">
        <w:trPr>
          <w:trHeight w:val="510"/>
        </w:trPr>
        <w:tc>
          <w:tcPr>
            <w:tcW w:w="2665" w:type="dxa"/>
            <w:vMerge w:val="restart"/>
            <w:shd w:val="clear" w:color="auto" w:fill="DABF00"/>
            <w:vAlign w:val="center"/>
          </w:tcPr>
          <w:p w14:paraId="6078CD91" w14:textId="77777777" w:rsidR="00E76ECA" w:rsidRPr="004E75DC" w:rsidRDefault="00E76ECA" w:rsidP="00E76ECA">
            <w:pPr>
              <w:spacing w:before="0" w:after="0" w:line="240" w:lineRule="auto"/>
              <w:rPr>
                <w:rFonts w:eastAsia="Calibri" w:cs="Arial"/>
                <w:sz w:val="20"/>
                <w:szCs w:val="20"/>
              </w:rPr>
            </w:pPr>
            <w:r w:rsidRPr="004E75DC">
              <w:rPr>
                <w:rFonts w:eastAsia="Calibri" w:cs="Arial"/>
                <w:sz w:val="20"/>
                <w:szCs w:val="20"/>
              </w:rPr>
              <w:t>Our people are supported through a positive working environment, enabling them to serve the public</w:t>
            </w:r>
          </w:p>
        </w:tc>
        <w:tc>
          <w:tcPr>
            <w:tcW w:w="567" w:type="dxa"/>
            <w:shd w:val="clear" w:color="auto" w:fill="auto"/>
          </w:tcPr>
          <w:p w14:paraId="1573299E" w14:textId="77777777" w:rsidR="00E76ECA" w:rsidRPr="00E45D80" w:rsidRDefault="00E76ECA" w:rsidP="00E76ECA">
            <w:pPr>
              <w:spacing w:before="0" w:after="0" w:line="240" w:lineRule="auto"/>
              <w:rPr>
                <w:rFonts w:eastAsia="Calibri" w:cs="Arial"/>
                <w:color w:val="FFFFFF"/>
                <w:sz w:val="20"/>
                <w:szCs w:val="20"/>
              </w:rPr>
            </w:pPr>
          </w:p>
        </w:tc>
        <w:tc>
          <w:tcPr>
            <w:tcW w:w="284" w:type="dxa"/>
            <w:shd w:val="clear" w:color="auto" w:fill="DABF00"/>
          </w:tcPr>
          <w:p w14:paraId="7E104220" w14:textId="77777777" w:rsidR="00E76ECA" w:rsidRPr="004E75DC" w:rsidRDefault="00E76ECA" w:rsidP="00E76ECA">
            <w:pPr>
              <w:spacing w:before="0" w:after="0" w:line="240" w:lineRule="auto"/>
              <w:rPr>
                <w:rFonts w:eastAsia="Calibri" w:cs="Arial"/>
                <w:sz w:val="20"/>
                <w:szCs w:val="20"/>
              </w:rPr>
            </w:pPr>
            <w:r w:rsidRPr="004E75DC">
              <w:rPr>
                <w:rFonts w:eastAsia="Calibri" w:cs="Arial"/>
                <w:sz w:val="20"/>
                <w:szCs w:val="20"/>
              </w:rPr>
              <w:t>-</w:t>
            </w:r>
          </w:p>
        </w:tc>
        <w:tc>
          <w:tcPr>
            <w:tcW w:w="6576" w:type="dxa"/>
            <w:shd w:val="clear" w:color="auto" w:fill="DABF00"/>
          </w:tcPr>
          <w:p w14:paraId="50C5BA83" w14:textId="77777777" w:rsidR="00E76ECA" w:rsidRPr="004E75DC" w:rsidRDefault="00E76ECA" w:rsidP="00E76ECA">
            <w:pPr>
              <w:spacing w:before="0" w:after="0" w:line="240" w:lineRule="auto"/>
              <w:rPr>
                <w:rFonts w:eastAsia="Calibri" w:cs="Arial"/>
                <w:sz w:val="20"/>
                <w:szCs w:val="20"/>
              </w:rPr>
            </w:pPr>
            <w:r w:rsidRPr="004E75DC">
              <w:rPr>
                <w:rFonts w:eastAsia="Calibri" w:cs="Arial"/>
                <w:sz w:val="20"/>
                <w:szCs w:val="20"/>
              </w:rPr>
              <w:t>Prioritise wellbeing and keep our people safe, well equipped and protected</w:t>
            </w:r>
          </w:p>
        </w:tc>
      </w:tr>
      <w:tr w:rsidR="00E76ECA" w:rsidRPr="00E45D80" w14:paraId="4C0F8C63" w14:textId="77777777" w:rsidTr="00CF7796">
        <w:trPr>
          <w:trHeight w:val="510"/>
        </w:trPr>
        <w:tc>
          <w:tcPr>
            <w:tcW w:w="2665" w:type="dxa"/>
            <w:vMerge/>
            <w:shd w:val="clear" w:color="auto" w:fill="DABF00"/>
          </w:tcPr>
          <w:p w14:paraId="75CDEED5" w14:textId="77777777" w:rsidR="00E76ECA" w:rsidRPr="00E45D80" w:rsidRDefault="00E76ECA" w:rsidP="00E76ECA">
            <w:pPr>
              <w:spacing w:before="0" w:after="0" w:line="240" w:lineRule="auto"/>
              <w:rPr>
                <w:rFonts w:eastAsia="Calibri" w:cs="Arial"/>
                <w:sz w:val="20"/>
                <w:szCs w:val="20"/>
              </w:rPr>
            </w:pPr>
          </w:p>
        </w:tc>
        <w:tc>
          <w:tcPr>
            <w:tcW w:w="567" w:type="dxa"/>
            <w:shd w:val="clear" w:color="auto" w:fill="auto"/>
          </w:tcPr>
          <w:p w14:paraId="78506A1F" w14:textId="56789948" w:rsidR="00E76ECA" w:rsidRPr="00E45D80" w:rsidRDefault="00E76ECA" w:rsidP="00E76ECA">
            <w:pPr>
              <w:spacing w:before="0" w:after="0" w:line="240" w:lineRule="auto"/>
              <w:rPr>
                <w:rFonts w:eastAsia="Calibri" w:cs="Arial"/>
                <w:color w:val="FFFFFF"/>
                <w:sz w:val="20"/>
                <w:szCs w:val="20"/>
              </w:rPr>
            </w:pPr>
          </w:p>
        </w:tc>
        <w:tc>
          <w:tcPr>
            <w:tcW w:w="284" w:type="dxa"/>
            <w:shd w:val="clear" w:color="auto" w:fill="DABF00"/>
          </w:tcPr>
          <w:p w14:paraId="40041422" w14:textId="77777777" w:rsidR="00E76ECA" w:rsidRPr="004E75DC" w:rsidRDefault="00E76ECA" w:rsidP="00E76ECA">
            <w:pPr>
              <w:spacing w:before="0" w:after="0" w:line="240" w:lineRule="auto"/>
              <w:rPr>
                <w:rFonts w:eastAsia="Calibri" w:cs="Arial"/>
                <w:sz w:val="20"/>
                <w:szCs w:val="20"/>
              </w:rPr>
            </w:pPr>
            <w:r w:rsidRPr="004E75DC">
              <w:rPr>
                <w:rFonts w:eastAsia="Calibri" w:cs="Arial"/>
                <w:sz w:val="20"/>
                <w:szCs w:val="20"/>
              </w:rPr>
              <w:t>-</w:t>
            </w:r>
          </w:p>
        </w:tc>
        <w:tc>
          <w:tcPr>
            <w:tcW w:w="6576" w:type="dxa"/>
            <w:shd w:val="clear" w:color="auto" w:fill="DABF00"/>
          </w:tcPr>
          <w:p w14:paraId="77853357" w14:textId="77777777" w:rsidR="00E76ECA" w:rsidRPr="004E75DC" w:rsidRDefault="00E76ECA" w:rsidP="00E76ECA">
            <w:pPr>
              <w:spacing w:before="0" w:after="0" w:line="240" w:lineRule="auto"/>
              <w:rPr>
                <w:rFonts w:eastAsia="Calibri" w:cs="Arial"/>
                <w:sz w:val="20"/>
                <w:szCs w:val="20"/>
              </w:rPr>
            </w:pPr>
            <w:r w:rsidRPr="004E75DC">
              <w:rPr>
                <w:rFonts w:eastAsia="Calibri" w:cs="Arial"/>
                <w:sz w:val="20"/>
                <w:szCs w:val="20"/>
              </w:rPr>
              <w:t>Support our people to be confident leaders, innovative, active contributors and influencers</w:t>
            </w:r>
          </w:p>
        </w:tc>
      </w:tr>
      <w:tr w:rsidR="00E76ECA" w:rsidRPr="00E45D80" w14:paraId="023D9D2A" w14:textId="77777777" w:rsidTr="00CF7796">
        <w:trPr>
          <w:trHeight w:val="510"/>
        </w:trPr>
        <w:tc>
          <w:tcPr>
            <w:tcW w:w="2665" w:type="dxa"/>
            <w:vMerge/>
            <w:shd w:val="clear" w:color="auto" w:fill="DABF00"/>
          </w:tcPr>
          <w:p w14:paraId="0B898E81" w14:textId="77777777" w:rsidR="00E76ECA" w:rsidRPr="00E45D80" w:rsidRDefault="00E76ECA" w:rsidP="00E76ECA">
            <w:pPr>
              <w:spacing w:before="0" w:after="0" w:line="240" w:lineRule="auto"/>
              <w:rPr>
                <w:rFonts w:eastAsia="Calibri" w:cs="Arial"/>
                <w:sz w:val="20"/>
                <w:szCs w:val="20"/>
              </w:rPr>
            </w:pPr>
          </w:p>
        </w:tc>
        <w:tc>
          <w:tcPr>
            <w:tcW w:w="567" w:type="dxa"/>
            <w:shd w:val="clear" w:color="auto" w:fill="auto"/>
          </w:tcPr>
          <w:p w14:paraId="372CAADA" w14:textId="77777777" w:rsidR="00E76ECA" w:rsidRPr="00E45D80" w:rsidRDefault="00E76ECA" w:rsidP="00E76ECA">
            <w:pPr>
              <w:spacing w:before="0" w:after="0" w:line="240" w:lineRule="auto"/>
              <w:rPr>
                <w:rFonts w:eastAsia="Calibri" w:cs="Arial"/>
                <w:color w:val="FFFFFF"/>
                <w:sz w:val="20"/>
                <w:szCs w:val="20"/>
              </w:rPr>
            </w:pPr>
          </w:p>
        </w:tc>
        <w:tc>
          <w:tcPr>
            <w:tcW w:w="284" w:type="dxa"/>
            <w:shd w:val="clear" w:color="auto" w:fill="DABF00"/>
          </w:tcPr>
          <w:p w14:paraId="47A34BAE" w14:textId="77777777" w:rsidR="00E76ECA" w:rsidRPr="004E75DC" w:rsidRDefault="00E76ECA" w:rsidP="00E76ECA">
            <w:pPr>
              <w:spacing w:before="0" w:after="0" w:line="240" w:lineRule="auto"/>
              <w:rPr>
                <w:rFonts w:eastAsia="Calibri" w:cs="Arial"/>
                <w:sz w:val="20"/>
                <w:szCs w:val="20"/>
              </w:rPr>
            </w:pPr>
            <w:r w:rsidRPr="004E75DC">
              <w:rPr>
                <w:rFonts w:eastAsia="Calibri" w:cs="Arial"/>
                <w:sz w:val="20"/>
                <w:szCs w:val="20"/>
              </w:rPr>
              <w:t>-</w:t>
            </w:r>
          </w:p>
        </w:tc>
        <w:tc>
          <w:tcPr>
            <w:tcW w:w="6576" w:type="dxa"/>
            <w:shd w:val="clear" w:color="auto" w:fill="DABF00"/>
          </w:tcPr>
          <w:p w14:paraId="5E9B2DEC" w14:textId="77777777" w:rsidR="00E76ECA" w:rsidRPr="004E75DC" w:rsidRDefault="00E76ECA" w:rsidP="00E76ECA">
            <w:pPr>
              <w:spacing w:before="0" w:after="0" w:line="240" w:lineRule="auto"/>
              <w:rPr>
                <w:rFonts w:eastAsia="Calibri" w:cs="Arial"/>
                <w:sz w:val="20"/>
                <w:szCs w:val="20"/>
              </w:rPr>
            </w:pPr>
            <w:r w:rsidRPr="004E75DC">
              <w:rPr>
                <w:rFonts w:eastAsia="Calibri" w:cs="Arial"/>
                <w:sz w:val="20"/>
                <w:szCs w:val="20"/>
              </w:rPr>
              <w:t>Support our people to identify with and demonstrate Police Scotland values and have a strong sense of belonging</w:t>
            </w:r>
          </w:p>
        </w:tc>
      </w:tr>
      <w:tr w:rsidR="00E76ECA" w:rsidRPr="00E45D80" w14:paraId="26CA14ED" w14:textId="77777777" w:rsidTr="00E76ECA">
        <w:trPr>
          <w:trHeight w:val="283"/>
        </w:trPr>
        <w:tc>
          <w:tcPr>
            <w:tcW w:w="10092" w:type="dxa"/>
            <w:gridSpan w:val="4"/>
            <w:shd w:val="clear" w:color="auto" w:fill="auto"/>
            <w:vAlign w:val="center"/>
          </w:tcPr>
          <w:p w14:paraId="10C3135A" w14:textId="77777777" w:rsidR="00E76ECA" w:rsidRPr="00E45D80" w:rsidRDefault="00E76ECA" w:rsidP="00E76ECA">
            <w:pPr>
              <w:spacing w:before="0" w:after="0" w:line="240" w:lineRule="auto"/>
              <w:rPr>
                <w:rFonts w:eastAsia="Calibri" w:cs="Arial"/>
                <w:color w:val="FFFFFF"/>
                <w:sz w:val="20"/>
                <w:szCs w:val="20"/>
              </w:rPr>
            </w:pPr>
          </w:p>
        </w:tc>
      </w:tr>
      <w:tr w:rsidR="00E76ECA" w:rsidRPr="00E45D80" w14:paraId="124627D5" w14:textId="77777777" w:rsidTr="00A8604B">
        <w:trPr>
          <w:trHeight w:val="510"/>
        </w:trPr>
        <w:tc>
          <w:tcPr>
            <w:tcW w:w="2665" w:type="dxa"/>
            <w:vMerge w:val="restart"/>
            <w:shd w:val="clear" w:color="auto" w:fill="88AA28"/>
            <w:vAlign w:val="center"/>
          </w:tcPr>
          <w:p w14:paraId="31919F8A" w14:textId="77777777" w:rsidR="00E76ECA" w:rsidRPr="00BB2986" w:rsidRDefault="00E76ECA" w:rsidP="00E76ECA">
            <w:pPr>
              <w:spacing w:before="0" w:after="0" w:line="240" w:lineRule="auto"/>
              <w:rPr>
                <w:rFonts w:eastAsia="Calibri" w:cs="Arial"/>
                <w:sz w:val="20"/>
                <w:szCs w:val="20"/>
              </w:rPr>
            </w:pPr>
            <w:r w:rsidRPr="00BB2986">
              <w:rPr>
                <w:rFonts w:eastAsia="Calibri" w:cs="Arial"/>
                <w:sz w:val="20"/>
                <w:szCs w:val="20"/>
              </w:rPr>
              <w:t>Police Scotland is sustainable, ad</w:t>
            </w:r>
            <w:r w:rsidRPr="00BB2986">
              <w:rPr>
                <w:rFonts w:eastAsia="Calibri" w:cs="Arial"/>
                <w:sz w:val="20"/>
                <w:szCs w:val="20"/>
                <w:shd w:val="clear" w:color="auto" w:fill="88AA28"/>
              </w:rPr>
              <w:t>a</w:t>
            </w:r>
            <w:r w:rsidRPr="00BB2986">
              <w:rPr>
                <w:rFonts w:eastAsia="Calibri" w:cs="Arial"/>
                <w:sz w:val="20"/>
                <w:szCs w:val="20"/>
              </w:rPr>
              <w:t>ptable and prepared for future challenges</w:t>
            </w:r>
          </w:p>
        </w:tc>
        <w:tc>
          <w:tcPr>
            <w:tcW w:w="567" w:type="dxa"/>
            <w:shd w:val="clear" w:color="auto" w:fill="auto"/>
          </w:tcPr>
          <w:p w14:paraId="3AA24A00" w14:textId="77777777" w:rsidR="00E76ECA" w:rsidRPr="000F7EB0" w:rsidRDefault="00E76ECA" w:rsidP="00E76ECA">
            <w:pPr>
              <w:spacing w:before="0" w:after="0" w:line="240" w:lineRule="auto"/>
              <w:rPr>
                <w:rFonts w:eastAsia="Calibri" w:cs="Arial"/>
                <w:color w:val="FFFFFF" w:themeColor="background1"/>
                <w:sz w:val="20"/>
                <w:szCs w:val="20"/>
              </w:rPr>
            </w:pPr>
          </w:p>
        </w:tc>
        <w:tc>
          <w:tcPr>
            <w:tcW w:w="284" w:type="dxa"/>
            <w:shd w:val="clear" w:color="auto" w:fill="88AA28"/>
          </w:tcPr>
          <w:p w14:paraId="7EFDA5CE" w14:textId="77777777" w:rsidR="00E76ECA" w:rsidRPr="00BB2986" w:rsidRDefault="00E76ECA" w:rsidP="00E76ECA">
            <w:pPr>
              <w:spacing w:before="0" w:after="0" w:line="240" w:lineRule="auto"/>
              <w:rPr>
                <w:rFonts w:eastAsia="Calibri" w:cs="Arial"/>
                <w:sz w:val="20"/>
                <w:szCs w:val="20"/>
              </w:rPr>
            </w:pPr>
            <w:r w:rsidRPr="00BB2986">
              <w:rPr>
                <w:rFonts w:eastAsia="Calibri" w:cs="Arial"/>
                <w:sz w:val="20"/>
                <w:szCs w:val="20"/>
              </w:rPr>
              <w:t>-</w:t>
            </w:r>
          </w:p>
        </w:tc>
        <w:tc>
          <w:tcPr>
            <w:tcW w:w="6576" w:type="dxa"/>
            <w:shd w:val="clear" w:color="auto" w:fill="88AA28"/>
          </w:tcPr>
          <w:p w14:paraId="63CEDECC" w14:textId="77777777" w:rsidR="00E76ECA" w:rsidRPr="00BB2986" w:rsidRDefault="00E76ECA" w:rsidP="00E76ECA">
            <w:pPr>
              <w:spacing w:before="0" w:after="0" w:line="240" w:lineRule="auto"/>
              <w:rPr>
                <w:rFonts w:eastAsia="Calibri" w:cs="Arial"/>
                <w:sz w:val="20"/>
                <w:szCs w:val="20"/>
              </w:rPr>
            </w:pPr>
            <w:r w:rsidRPr="00BB2986">
              <w:rPr>
                <w:rFonts w:eastAsia="Calibri" w:cs="Arial"/>
                <w:sz w:val="20"/>
                <w:szCs w:val="20"/>
              </w:rPr>
              <w:t>Use innovative approaches to accelerate our capacity and capability for effective service delivery</w:t>
            </w:r>
          </w:p>
        </w:tc>
      </w:tr>
      <w:tr w:rsidR="00E76ECA" w:rsidRPr="00E45D80" w14:paraId="383757A7" w14:textId="77777777" w:rsidTr="00A8604B">
        <w:trPr>
          <w:trHeight w:val="510"/>
        </w:trPr>
        <w:tc>
          <w:tcPr>
            <w:tcW w:w="2665" w:type="dxa"/>
            <w:vMerge/>
            <w:shd w:val="clear" w:color="auto" w:fill="88AA28"/>
          </w:tcPr>
          <w:p w14:paraId="2872C330" w14:textId="77777777" w:rsidR="00E76ECA" w:rsidRPr="000F7EB0" w:rsidRDefault="00E76ECA" w:rsidP="00E76ECA">
            <w:pPr>
              <w:spacing w:before="0" w:after="0" w:line="240" w:lineRule="auto"/>
              <w:rPr>
                <w:rFonts w:eastAsia="Calibri" w:cs="Arial"/>
                <w:color w:val="FFFFFF" w:themeColor="background1"/>
                <w:sz w:val="20"/>
                <w:szCs w:val="20"/>
              </w:rPr>
            </w:pPr>
          </w:p>
        </w:tc>
        <w:tc>
          <w:tcPr>
            <w:tcW w:w="567" w:type="dxa"/>
            <w:shd w:val="clear" w:color="auto" w:fill="auto"/>
          </w:tcPr>
          <w:p w14:paraId="55B6D3BD" w14:textId="545F8461" w:rsidR="00E76ECA" w:rsidRPr="000F7EB0" w:rsidRDefault="00E76ECA" w:rsidP="00E76ECA">
            <w:pPr>
              <w:spacing w:before="0" w:after="0" w:line="240" w:lineRule="auto"/>
              <w:rPr>
                <w:rFonts w:eastAsia="Calibri" w:cs="Arial"/>
                <w:color w:val="FFFFFF" w:themeColor="background1"/>
                <w:sz w:val="20"/>
                <w:szCs w:val="20"/>
              </w:rPr>
            </w:pPr>
          </w:p>
        </w:tc>
        <w:tc>
          <w:tcPr>
            <w:tcW w:w="284" w:type="dxa"/>
            <w:shd w:val="clear" w:color="auto" w:fill="88AA28"/>
          </w:tcPr>
          <w:p w14:paraId="61E5E88D" w14:textId="77777777" w:rsidR="00E76ECA" w:rsidRPr="00BB2986" w:rsidRDefault="00E76ECA" w:rsidP="00E76ECA">
            <w:pPr>
              <w:spacing w:before="0" w:after="0" w:line="240" w:lineRule="auto"/>
              <w:rPr>
                <w:rFonts w:eastAsia="Calibri" w:cs="Arial"/>
                <w:sz w:val="20"/>
                <w:szCs w:val="20"/>
              </w:rPr>
            </w:pPr>
            <w:r w:rsidRPr="00BB2986">
              <w:rPr>
                <w:rFonts w:eastAsia="Calibri" w:cs="Arial"/>
                <w:sz w:val="20"/>
                <w:szCs w:val="20"/>
              </w:rPr>
              <w:t>-</w:t>
            </w:r>
          </w:p>
        </w:tc>
        <w:tc>
          <w:tcPr>
            <w:tcW w:w="6576" w:type="dxa"/>
            <w:shd w:val="clear" w:color="auto" w:fill="88AA28"/>
          </w:tcPr>
          <w:p w14:paraId="4C1762D5" w14:textId="77777777" w:rsidR="00E76ECA" w:rsidRPr="00BB2986" w:rsidRDefault="00E76ECA" w:rsidP="00E76ECA">
            <w:pPr>
              <w:spacing w:before="0" w:after="0" w:line="240" w:lineRule="auto"/>
              <w:rPr>
                <w:rFonts w:eastAsia="Calibri" w:cs="Arial"/>
                <w:sz w:val="20"/>
                <w:szCs w:val="20"/>
              </w:rPr>
            </w:pPr>
            <w:r w:rsidRPr="00BB2986">
              <w:rPr>
                <w:rFonts w:eastAsia="Calibri" w:cs="Arial"/>
                <w:sz w:val="20"/>
                <w:szCs w:val="20"/>
              </w:rPr>
              <w:t>Commit to making a positive impact through outstanding environmental sustainability</w:t>
            </w:r>
          </w:p>
        </w:tc>
      </w:tr>
      <w:tr w:rsidR="00E76ECA" w:rsidRPr="00E45D80" w14:paraId="7246B63E" w14:textId="77777777" w:rsidTr="00A8604B">
        <w:trPr>
          <w:trHeight w:val="510"/>
        </w:trPr>
        <w:tc>
          <w:tcPr>
            <w:tcW w:w="2665" w:type="dxa"/>
            <w:vMerge/>
            <w:shd w:val="clear" w:color="auto" w:fill="88AA28"/>
          </w:tcPr>
          <w:p w14:paraId="3E2A6614" w14:textId="77777777" w:rsidR="00E76ECA" w:rsidRPr="000F7EB0" w:rsidRDefault="00E76ECA" w:rsidP="00E76ECA">
            <w:pPr>
              <w:spacing w:before="0" w:after="0" w:line="240" w:lineRule="auto"/>
              <w:rPr>
                <w:rFonts w:eastAsia="Calibri" w:cs="Arial"/>
                <w:color w:val="FFFFFF" w:themeColor="background1"/>
                <w:sz w:val="20"/>
                <w:szCs w:val="20"/>
              </w:rPr>
            </w:pPr>
          </w:p>
        </w:tc>
        <w:tc>
          <w:tcPr>
            <w:tcW w:w="567" w:type="dxa"/>
            <w:shd w:val="clear" w:color="auto" w:fill="auto"/>
          </w:tcPr>
          <w:p w14:paraId="7B9AE0E2" w14:textId="77777777" w:rsidR="00E76ECA" w:rsidRPr="000F7EB0" w:rsidRDefault="00E76ECA" w:rsidP="00E76ECA">
            <w:pPr>
              <w:spacing w:before="0" w:after="0" w:line="240" w:lineRule="auto"/>
              <w:rPr>
                <w:rFonts w:eastAsia="Calibri" w:cs="Arial"/>
                <w:color w:val="FFFFFF" w:themeColor="background1"/>
                <w:sz w:val="20"/>
                <w:szCs w:val="20"/>
              </w:rPr>
            </w:pPr>
          </w:p>
        </w:tc>
        <w:tc>
          <w:tcPr>
            <w:tcW w:w="284" w:type="dxa"/>
            <w:shd w:val="clear" w:color="auto" w:fill="88AA28"/>
          </w:tcPr>
          <w:p w14:paraId="7FB23336" w14:textId="77777777" w:rsidR="00E76ECA" w:rsidRPr="00BB2986" w:rsidRDefault="00E76ECA" w:rsidP="00E76ECA">
            <w:pPr>
              <w:spacing w:before="0" w:after="0" w:line="240" w:lineRule="auto"/>
              <w:rPr>
                <w:rFonts w:eastAsia="Calibri" w:cs="Arial"/>
                <w:sz w:val="20"/>
                <w:szCs w:val="20"/>
              </w:rPr>
            </w:pPr>
            <w:r w:rsidRPr="00BB2986">
              <w:rPr>
                <w:rFonts w:eastAsia="Calibri" w:cs="Arial"/>
                <w:sz w:val="20"/>
                <w:szCs w:val="20"/>
              </w:rPr>
              <w:t>-</w:t>
            </w:r>
          </w:p>
        </w:tc>
        <w:tc>
          <w:tcPr>
            <w:tcW w:w="6576" w:type="dxa"/>
            <w:shd w:val="clear" w:color="auto" w:fill="88AA28"/>
          </w:tcPr>
          <w:p w14:paraId="72639B38" w14:textId="77777777" w:rsidR="00E76ECA" w:rsidRPr="00BB2986" w:rsidRDefault="00E76ECA" w:rsidP="00E76ECA">
            <w:pPr>
              <w:spacing w:before="0" w:after="0" w:line="240" w:lineRule="auto"/>
              <w:rPr>
                <w:rFonts w:eastAsia="Calibri" w:cs="Arial"/>
                <w:sz w:val="20"/>
                <w:szCs w:val="20"/>
              </w:rPr>
            </w:pPr>
            <w:r w:rsidRPr="00BB2986">
              <w:rPr>
                <w:rFonts w:eastAsia="Calibri" w:cs="Arial"/>
                <w:sz w:val="20"/>
                <w:szCs w:val="20"/>
              </w:rPr>
              <w:t>Support operational policing through the appropriate digital tools and delivery of best value</w:t>
            </w:r>
          </w:p>
        </w:tc>
      </w:tr>
      <w:tr w:rsidR="00E76ECA" w:rsidRPr="00E45D80" w14:paraId="7543A5CD" w14:textId="77777777" w:rsidTr="00E76ECA">
        <w:trPr>
          <w:trHeight w:val="283"/>
        </w:trPr>
        <w:tc>
          <w:tcPr>
            <w:tcW w:w="10092" w:type="dxa"/>
            <w:gridSpan w:val="4"/>
            <w:shd w:val="clear" w:color="auto" w:fill="auto"/>
            <w:vAlign w:val="center"/>
          </w:tcPr>
          <w:p w14:paraId="1DCA4EF4" w14:textId="77777777" w:rsidR="00E76ECA" w:rsidRPr="00E45D80" w:rsidRDefault="00E76ECA" w:rsidP="00E76ECA">
            <w:pPr>
              <w:spacing w:before="0" w:after="0" w:line="240" w:lineRule="auto"/>
              <w:jc w:val="center"/>
              <w:rPr>
                <w:rFonts w:eastAsia="Calibri" w:cs="Arial"/>
                <w:b/>
                <w:color w:val="FFFFFF"/>
                <w:sz w:val="20"/>
                <w:szCs w:val="20"/>
              </w:rPr>
            </w:pPr>
          </w:p>
        </w:tc>
      </w:tr>
      <w:tr w:rsidR="00E76ECA" w:rsidRPr="00E45D80" w14:paraId="15FB3B86" w14:textId="77777777" w:rsidTr="00E76ECA">
        <w:trPr>
          <w:trHeight w:val="340"/>
        </w:trPr>
        <w:tc>
          <w:tcPr>
            <w:tcW w:w="10092" w:type="dxa"/>
            <w:gridSpan w:val="4"/>
            <w:shd w:val="clear" w:color="auto" w:fill="2F5496"/>
            <w:vAlign w:val="center"/>
          </w:tcPr>
          <w:p w14:paraId="3F3CAE65" w14:textId="77777777" w:rsidR="00E76ECA" w:rsidRPr="00E45D80" w:rsidRDefault="00E76ECA" w:rsidP="00E76ECA">
            <w:pPr>
              <w:spacing w:before="0" w:after="0" w:line="240" w:lineRule="auto"/>
              <w:jc w:val="center"/>
              <w:rPr>
                <w:rFonts w:eastAsia="Calibri" w:cs="Arial"/>
                <w:b/>
                <w:color w:val="FFFFFF"/>
                <w:sz w:val="20"/>
                <w:szCs w:val="20"/>
              </w:rPr>
            </w:pPr>
            <w:r w:rsidRPr="00E45D80">
              <w:rPr>
                <w:rFonts w:eastAsia="Calibri" w:cs="Arial"/>
                <w:b/>
                <w:color w:val="FFFFFF"/>
                <w:sz w:val="20"/>
                <w:szCs w:val="20"/>
              </w:rPr>
              <w:t>Evidencing progress towards our outcomes</w:t>
            </w:r>
          </w:p>
        </w:tc>
      </w:tr>
      <w:tr w:rsidR="00E76ECA" w:rsidRPr="00E45D80" w14:paraId="18D7448A" w14:textId="77777777" w:rsidTr="00E76ECA">
        <w:trPr>
          <w:trHeight w:val="510"/>
        </w:trPr>
        <w:tc>
          <w:tcPr>
            <w:tcW w:w="10092" w:type="dxa"/>
            <w:gridSpan w:val="4"/>
            <w:shd w:val="clear" w:color="auto" w:fill="2F5496"/>
            <w:vAlign w:val="center"/>
          </w:tcPr>
          <w:p w14:paraId="62274D8F" w14:textId="77777777" w:rsidR="00E76ECA" w:rsidRPr="00E45D80" w:rsidRDefault="00E76ECA" w:rsidP="00E76ECA">
            <w:pPr>
              <w:spacing w:before="0" w:after="0" w:line="240" w:lineRule="auto"/>
              <w:jc w:val="center"/>
              <w:rPr>
                <w:rFonts w:eastAsia="Calibri" w:cs="Arial"/>
                <w:color w:val="FFFFFF"/>
                <w:sz w:val="20"/>
                <w:szCs w:val="20"/>
              </w:rPr>
            </w:pPr>
            <w:r w:rsidRPr="00E45D80">
              <w:rPr>
                <w:rFonts w:eastAsia="Calibri" w:cs="Arial"/>
                <w:color w:val="FFFFFF"/>
                <w:sz w:val="20"/>
                <w:szCs w:val="20"/>
              </w:rPr>
              <w:t>Gathering our data, narrative and insights together provides us with an evidence base that demonstrates how we are achieving our outcomes</w:t>
            </w:r>
          </w:p>
        </w:tc>
      </w:tr>
    </w:tbl>
    <w:p w14:paraId="44337398" w14:textId="142E0A54" w:rsidR="000F1735" w:rsidRDefault="000F1735">
      <w:pPr>
        <w:spacing w:before="0" w:after="160" w:line="259" w:lineRule="auto"/>
      </w:pPr>
      <w:r>
        <w:br w:type="page"/>
      </w:r>
    </w:p>
    <w:p w14:paraId="35F2AE55" w14:textId="1EAAB1C1" w:rsidR="001A2259" w:rsidRPr="001A2259" w:rsidRDefault="00101C22" w:rsidP="005C7704">
      <w:pPr>
        <w:pStyle w:val="Heading3"/>
      </w:pPr>
      <w:bookmarkStart w:id="23" w:name="LocalInsight"/>
      <w:bookmarkStart w:id="24" w:name="_Toc140746128"/>
      <w:bookmarkStart w:id="25" w:name="_Toc140750243"/>
      <w:bookmarkStart w:id="26" w:name="_Toc142045261"/>
      <w:bookmarkStart w:id="27" w:name="_Toc157687361"/>
      <w:bookmarkStart w:id="28" w:name="_Toc157696605"/>
      <w:bookmarkStart w:id="29" w:name="_Toc158895840"/>
      <w:bookmarkEnd w:id="23"/>
      <w:r w:rsidRPr="00101C22">
        <w:lastRenderedPageBreak/>
        <w:t>Measures of Progress towards Strategic Outcomes</w:t>
      </w:r>
      <w:bookmarkEnd w:id="24"/>
      <w:bookmarkEnd w:id="25"/>
      <w:bookmarkEnd w:id="26"/>
      <w:bookmarkEnd w:id="27"/>
      <w:bookmarkEnd w:id="28"/>
      <w:r w:rsidR="001A2259">
        <w:t xml:space="preserve"> </w:t>
      </w:r>
      <w:r w:rsidR="005C7704">
        <w:t xml:space="preserve">- </w:t>
      </w:r>
      <w:r w:rsidR="001A2259" w:rsidRPr="001A2259">
        <w:t>Insights and Exceptions</w:t>
      </w:r>
      <w:bookmarkEnd w:id="29"/>
    </w:p>
    <w:p w14:paraId="115ED8E9" w14:textId="139A9C03" w:rsidR="00902B08" w:rsidRDefault="00902B08" w:rsidP="00902B08">
      <w:pPr>
        <w:pStyle w:val="Heading3"/>
      </w:pPr>
      <w:bookmarkStart w:id="30" w:name="_Toc140746129"/>
      <w:bookmarkStart w:id="31" w:name="_Toc140750244"/>
      <w:bookmarkStart w:id="32" w:name="_Toc142045262"/>
      <w:bookmarkStart w:id="33" w:name="_Toc157687362"/>
      <w:bookmarkStart w:id="34" w:name="_Toc157696606"/>
      <w:bookmarkStart w:id="35" w:name="_Toc158895841"/>
      <w:r>
        <w:t>Strategic Outcome 1</w:t>
      </w:r>
      <w:bookmarkEnd w:id="30"/>
      <w:bookmarkEnd w:id="31"/>
      <w:bookmarkEnd w:id="32"/>
      <w:bookmarkEnd w:id="33"/>
      <w:bookmarkEnd w:id="34"/>
      <w:bookmarkEnd w:id="35"/>
    </w:p>
    <w:tbl>
      <w:tblPr>
        <w:tblStyle w:val="TableGrid1"/>
        <w:tblW w:w="9865" w:type="dxa"/>
        <w:shd w:val="clear" w:color="auto" w:fill="29AAD1"/>
        <w:tblLook w:val="04A0" w:firstRow="1" w:lastRow="0" w:firstColumn="1" w:lastColumn="0" w:noHBand="0" w:noVBand="1"/>
        <w:tblCaption w:val="Strategic Outcome 1 and Objectives"/>
        <w:tblDescription w:val="This box provides a description of Strategic Outcome 1 and the three objectives which sit under this outcome in the Annual Police Plan 2022/23."/>
      </w:tblPr>
      <w:tblGrid>
        <w:gridCol w:w="9865"/>
      </w:tblGrid>
      <w:tr w:rsidR="00BB2986" w:rsidRPr="00BB2986" w14:paraId="2E2C978D" w14:textId="77777777" w:rsidTr="00CF7796">
        <w:trPr>
          <w:tblHeader/>
        </w:trPr>
        <w:tc>
          <w:tcPr>
            <w:tcW w:w="9865" w:type="dxa"/>
            <w:shd w:val="clear" w:color="auto" w:fill="29AAD1"/>
          </w:tcPr>
          <w:p w14:paraId="543A5F16" w14:textId="0565EB0E" w:rsidR="00D139A7" w:rsidRPr="00BB2986" w:rsidRDefault="00D139A7" w:rsidP="00AA5E0E">
            <w:pPr>
              <w:pStyle w:val="TableNormal1"/>
              <w:rPr>
                <w:rFonts w:ascii="Arial" w:hAnsi="Arial" w:cs="Arial"/>
                <w:color w:val="auto"/>
                <w:sz w:val="24"/>
              </w:rPr>
            </w:pPr>
            <w:r w:rsidRPr="00BB2986">
              <w:rPr>
                <w:rFonts w:ascii="Arial" w:hAnsi="Arial" w:cs="Arial"/>
                <w:color w:val="auto"/>
                <w:sz w:val="24"/>
              </w:rPr>
              <w:t>Threats to public safety and wellbeing are resolved by a proactive and responsive police service</w:t>
            </w:r>
            <w:r w:rsidR="004F2CA2" w:rsidRPr="00BB2986">
              <w:rPr>
                <w:rFonts w:ascii="Arial" w:hAnsi="Arial" w:cs="Arial"/>
                <w:color w:val="auto"/>
                <w:sz w:val="24"/>
              </w:rPr>
              <w:t>.</w:t>
            </w:r>
          </w:p>
          <w:p w14:paraId="5E5EB438" w14:textId="31F7208C" w:rsidR="00D139A7" w:rsidRPr="00BB2986" w:rsidRDefault="00D139A7" w:rsidP="00AA5E0E">
            <w:pPr>
              <w:pStyle w:val="TableNormal1"/>
              <w:rPr>
                <w:rFonts w:ascii="Arial" w:hAnsi="Arial" w:cs="Arial"/>
                <w:color w:val="auto"/>
                <w:sz w:val="24"/>
              </w:rPr>
            </w:pPr>
            <w:r w:rsidRPr="00BB2986">
              <w:rPr>
                <w:rFonts w:ascii="Arial" w:hAnsi="Arial" w:cs="Arial"/>
                <w:color w:val="auto"/>
                <w:sz w:val="24"/>
              </w:rPr>
              <w:t>Objectives</w:t>
            </w:r>
            <w:r w:rsidR="004F2CA2" w:rsidRPr="00BB2986">
              <w:rPr>
                <w:rFonts w:ascii="Arial" w:hAnsi="Arial" w:cs="Arial"/>
                <w:color w:val="auto"/>
                <w:sz w:val="24"/>
              </w:rPr>
              <w:t>:</w:t>
            </w:r>
          </w:p>
          <w:p w14:paraId="7234B164" w14:textId="77777777" w:rsidR="00D139A7" w:rsidRPr="00BB2986" w:rsidRDefault="00D139A7" w:rsidP="00D228ED">
            <w:pPr>
              <w:pStyle w:val="BulletTable"/>
              <w:rPr>
                <w:rFonts w:ascii="Arial" w:hAnsi="Arial" w:cs="Arial"/>
                <w:sz w:val="24"/>
              </w:rPr>
            </w:pPr>
            <w:r w:rsidRPr="00BB2986">
              <w:rPr>
                <w:rFonts w:ascii="Arial" w:hAnsi="Arial" w:cs="Arial"/>
                <w:sz w:val="24"/>
              </w:rPr>
              <w:t>Keep people safe in the physical and digital world</w:t>
            </w:r>
          </w:p>
          <w:p w14:paraId="6A863C7E" w14:textId="77777777" w:rsidR="00D139A7" w:rsidRPr="00BB2986" w:rsidRDefault="00D139A7" w:rsidP="00D228ED">
            <w:pPr>
              <w:pStyle w:val="BulletTable"/>
              <w:rPr>
                <w:rFonts w:ascii="Arial" w:hAnsi="Arial" w:cs="Arial"/>
                <w:sz w:val="24"/>
              </w:rPr>
            </w:pPr>
            <w:r w:rsidRPr="00BB2986">
              <w:rPr>
                <w:rFonts w:ascii="Arial" w:hAnsi="Arial" w:cs="Arial"/>
                <w:sz w:val="24"/>
              </w:rPr>
              <w:t>Design services jointly to tackle complex public safety and wellbeing challenges</w:t>
            </w:r>
          </w:p>
          <w:p w14:paraId="3ACB8EA8" w14:textId="77777777" w:rsidR="00D139A7" w:rsidRPr="00BB2986" w:rsidRDefault="00D139A7" w:rsidP="00D228ED">
            <w:pPr>
              <w:pStyle w:val="BulletTable"/>
            </w:pPr>
            <w:r w:rsidRPr="00BB2986">
              <w:rPr>
                <w:rFonts w:ascii="Arial" w:hAnsi="Arial" w:cs="Arial"/>
                <w:sz w:val="24"/>
              </w:rPr>
              <w:t>Support policing through proactive prevention</w:t>
            </w:r>
          </w:p>
        </w:tc>
      </w:tr>
    </w:tbl>
    <w:p w14:paraId="3057CDA3" w14:textId="6AAA5600" w:rsidR="00101C22" w:rsidRDefault="00101C22" w:rsidP="00101C22">
      <w:r>
        <w:t xml:space="preserve">All </w:t>
      </w:r>
      <w:r w:rsidRPr="00101C22">
        <w:t>data is classed as Management Information and is not considered official statistics. All data is sourced from Police Scotland internal systems</w:t>
      </w:r>
      <w:r>
        <w:t>.</w:t>
      </w:r>
    </w:p>
    <w:p w14:paraId="61EC4103" w14:textId="3378C453" w:rsidR="00E07021" w:rsidRDefault="00101C22" w:rsidP="002554CE">
      <w:pPr>
        <w:pStyle w:val="Heading4"/>
      </w:pPr>
      <w:bookmarkStart w:id="36" w:name="ViolentCrime"/>
      <w:bookmarkEnd w:id="36"/>
      <w:r>
        <w:t>Violent Crime</w:t>
      </w:r>
    </w:p>
    <w:p w14:paraId="058FD0BD" w14:textId="7E1B5EE8" w:rsidR="00E314B5" w:rsidRDefault="00967C9E" w:rsidP="00E314B5">
      <w:r>
        <w:rPr>
          <w:noProof/>
          <w:lang w:eastAsia="en-GB"/>
        </w:rPr>
        <w:drawing>
          <wp:inline distT="0" distB="0" distL="0" distR="0" wp14:anchorId="7B14E922" wp14:editId="7CEAB173">
            <wp:extent cx="6264000" cy="1800000"/>
            <wp:effectExtent l="0" t="0" r="3810" b="0"/>
            <wp:docPr id="23" name="Picture 23" descr="This visualisation shows Overall Violent Crime at the end of Quarter 3 compared to the previous year and last five-years.&#10;&#10;The first section (recorded YTD comparison) shows 47,656 overall violent crimes PYTD compared to 49,774 YTD. Up 4.4% on last year. The six month sparkline shows the highest volume of overall violent crime was in September (5,663) and lowest volume in November (5,040).&#10;&#10;The second section (recorded five-year comparison) shows the five-year mean for overall violent crimes is 47,560.4 compared to 49,774 YTD. Up 4.7% on five-year mean. The five-year sparkline shows the highest volume of overall violent crimes in 2023/24 YTD (49,774) and lowest volume in 2020/21 YTD (44,864).&#10;&#10;The third section (recorded detection rate comparison) shows the detection rate for overall violent crimes was 69.1% in PYTD compared to 69.7% in YTD. Up 0.6% points on last year. The five-year sparkline shows the highest detection rate in 2020/21 (72.4%) and lowest in 2021/22 (67.3%). " title="Overall Violent Crime Visualis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7"/>
                    <a:stretch>
                      <a:fillRect/>
                    </a:stretch>
                  </pic:blipFill>
                  <pic:spPr>
                    <a:xfrm>
                      <a:off x="0" y="0"/>
                      <a:ext cx="6264000" cy="1800000"/>
                    </a:xfrm>
                    <a:prstGeom prst="rect">
                      <a:avLst/>
                    </a:prstGeom>
                  </pic:spPr>
                </pic:pic>
              </a:graphicData>
            </a:graphic>
          </wp:inline>
        </w:drawing>
      </w:r>
    </w:p>
    <w:p w14:paraId="7CED093B" w14:textId="77777777" w:rsidR="00793911" w:rsidRDefault="00793911" w:rsidP="00793911">
      <w:r w:rsidRPr="00BE66CD">
        <w:rPr>
          <w:shd w:val="clear" w:color="auto" w:fill="FFF2CC" w:themeFill="accent4" w:themeFillTint="33"/>
        </w:rPr>
        <w:t>Note: Overall violent crime is comprised of murder, culpable homicide (common law), attempted murder, serious assault, robbery, common assault and common assault (of emergency workers)</w:t>
      </w:r>
      <w:r w:rsidRPr="00F701B5">
        <w:t>.</w:t>
      </w:r>
    </w:p>
    <w:p w14:paraId="0D0B1338" w14:textId="1FDD0296" w:rsidR="00793911" w:rsidRDefault="00793911" w:rsidP="00E314B5">
      <w:r w:rsidRPr="001F18E8">
        <w:t>Overall violent crime recorded during April to December 2023 is at the highest level for this period in recent years – up 4.4% from the same period last year and 4.7% from the period’s five-year mean. The increases seen on last year have narrowed from the position at the end of Quarter 2 where increases of 6.0% and 6.4% were seen respect</w:t>
      </w:r>
      <w:r w:rsidRPr="00D16CF9">
        <w:t>ively.</w:t>
      </w:r>
    </w:p>
    <w:p w14:paraId="624BF539" w14:textId="00BBBD10" w:rsidR="00793911" w:rsidRDefault="00793911" w:rsidP="00793911">
      <w:r>
        <w:t xml:space="preserve">Robberies and common assault continue to be the drivers for the increase in violent crime. A comprehensive update was included in the Local Insights section of the </w:t>
      </w:r>
      <w:hyperlink r:id="rId18" w:history="1">
        <w:r w:rsidRPr="009B4EDE">
          <w:rPr>
            <w:rStyle w:val="Hyperlink"/>
          </w:rPr>
          <w:t>Quarter 2 report</w:t>
        </w:r>
      </w:hyperlink>
      <w:r>
        <w:t xml:space="preserve"> (pages 20-23).</w:t>
      </w:r>
    </w:p>
    <w:p w14:paraId="170B6EC4" w14:textId="77777777" w:rsidR="00793911" w:rsidRDefault="00793911" w:rsidP="00793911">
      <w:r>
        <w:t>At the end of Quarter 3, 1,507 robberies were recorded, up 29.4% on last year and a 20.4% increase on the five-year mean. This is an improved position from the end of Quarter 2 where the increases were 35.8% and 21.6% respectively.</w:t>
      </w:r>
    </w:p>
    <w:p w14:paraId="6D37E741" w14:textId="2CA50DA0" w:rsidR="00793911" w:rsidRDefault="00793911" w:rsidP="00793911">
      <w:r>
        <w:lastRenderedPageBreak/>
        <w:t>October saw the highest monthly occurrence of robberies with 183 recorded. Subsequent months have seen drops in levels with 157 recorded in December, the second lowest individual month year to date after April.</w:t>
      </w:r>
    </w:p>
    <w:p w14:paraId="253AEEE7" w14:textId="2CB35D93" w:rsidR="00793911" w:rsidRDefault="00793911" w:rsidP="00793911">
      <w:r w:rsidRPr="00793911">
        <w:t>At the end of Quarter 3, 45,563 common assaults were recorded, up 4.2% on last year and a 5.4% increase on the five-year mean. This is an improved position from the end of Quarter 2 where the increases were 5.6% and 7.2% respectively.</w:t>
      </w:r>
    </w:p>
    <w:p w14:paraId="522F304B" w14:textId="5EC88DF4" w:rsidR="00720FBF" w:rsidRDefault="00720FBF" w:rsidP="00793911">
      <w:r>
        <w:t>November saw the lowest monthly total common assault occurrence, with October and December also at the lowest levels this year with the exception of April.</w:t>
      </w:r>
    </w:p>
    <w:p w14:paraId="65003977" w14:textId="77777777" w:rsidR="00550FC8" w:rsidRPr="00B453C4" w:rsidRDefault="00550FC8" w:rsidP="00550FC8">
      <w:pPr>
        <w:pStyle w:val="Heading4"/>
        <w:rPr>
          <w:rStyle w:val="Strong"/>
        </w:rPr>
      </w:pPr>
      <w:r>
        <w:t>Key Exception: Serious Assaults on Officers and Staff Increase</w:t>
      </w:r>
    </w:p>
    <w:p w14:paraId="54A984F6" w14:textId="77777777" w:rsidR="00550FC8" w:rsidRDefault="00550FC8" w:rsidP="00550FC8">
      <w:r>
        <w:rPr>
          <w:noProof/>
          <w:lang w:eastAsia="en-GB"/>
        </w:rPr>
        <w:drawing>
          <wp:inline distT="0" distB="0" distL="0" distR="0" wp14:anchorId="4E5DC8F7" wp14:editId="7EF39274">
            <wp:extent cx="5400000" cy="1800000"/>
            <wp:effectExtent l="0" t="0" r="0" b="0"/>
            <wp:docPr id="16" name="Picture 16" descr="This visualisation shows the number of serious assaults on officers and staff month-on-month from 2018/19 through to 2023/24 (light blue dotted line) compared to the rolling 12 month averages (dark blue solid line).&#10;&#10;Looking from April 2023, there have been 40 serious assault in the YTD which is up 48.1% from the 27 recorded last year and up 46% on the five-year mean. Seven of the nine months YTD were above the rolling 12 month average with only August and September 2023 below. The largest volume of serious assaults in the YTD were recorded in July 2023 (nine) followed by May 2023 (eight) which was 5.7 and 5.5 assaults respectively above the rolling 12 month average.&#10;" title="Serious Assaults on Officers &amp; Staff Increase Visualis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6" descr="A graph with blue lines and numbers&#10;&#10;Description automatically generated"/>
                    <pic:cNvPicPr preferRelativeResize="0"/>
                  </pic:nvPicPr>
                  <pic:blipFill>
                    <a:blip r:embed="rId19"/>
                    <a:stretch>
                      <a:fillRect/>
                    </a:stretch>
                  </pic:blipFill>
                  <pic:spPr>
                    <a:xfrm>
                      <a:off x="0" y="0"/>
                      <a:ext cx="5400000" cy="1800000"/>
                    </a:xfrm>
                    <a:prstGeom prst="rect">
                      <a:avLst/>
                    </a:prstGeom>
                  </pic:spPr>
                </pic:pic>
              </a:graphicData>
            </a:graphic>
          </wp:inline>
        </w:drawing>
      </w:r>
    </w:p>
    <w:p w14:paraId="065EBF71" w14:textId="77777777" w:rsidR="00550FC8" w:rsidRDefault="00550FC8" w:rsidP="00550FC8">
      <w:r>
        <w:t>Serious Assaults on Police Scotland’s officers and staff in 2023/24 (40) have increased by 13 compared to the previous year and also 13 compared to the five-year mean. Additionally, when the data is examined over a 12 month rolling average, 2023/24 ranges between two and four serious assaults per month, providing a more nuanced and continuous view of the data.</w:t>
      </w:r>
    </w:p>
    <w:p w14:paraId="7BE2FF01" w14:textId="77777777" w:rsidR="00550FC8" w:rsidRDefault="00550FC8" w:rsidP="00550FC8">
      <w:r>
        <w:t>Despite the increase in the total number of serious assaults this year, the rolling average aligns closely with the figures observed over the last five years. This approach suggests that while there has been a spike in 2023/24 the ongoing monthly average remains consistent with the broader pattern. The increase seems to be due to spikes in May (eight serious assaults) and July (nine serious assaults).</w:t>
      </w:r>
    </w:p>
    <w:p w14:paraId="10DF63B1" w14:textId="77777777" w:rsidR="00550FC8" w:rsidRPr="00213FE4" w:rsidRDefault="00550FC8" w:rsidP="00793911"/>
    <w:p w14:paraId="1A9738F1" w14:textId="58BE13AC" w:rsidR="0092631F" w:rsidRDefault="0092631F" w:rsidP="002554CE">
      <w:pPr>
        <w:pStyle w:val="Heading4"/>
      </w:pPr>
      <w:r w:rsidRPr="00B65898">
        <w:lastRenderedPageBreak/>
        <w:t xml:space="preserve">Local Insight: </w:t>
      </w:r>
      <w:r>
        <w:t xml:space="preserve">Decline in Serious Assaults in </w:t>
      </w:r>
      <w:r w:rsidR="00704A12">
        <w:t xml:space="preserve">Greater </w:t>
      </w:r>
      <w:r>
        <w:t>Glasgow Division</w:t>
      </w:r>
    </w:p>
    <w:p w14:paraId="519CFCA8" w14:textId="1E78F0B6" w:rsidR="00034DE9" w:rsidRPr="00034DE9" w:rsidRDefault="00034DE9" w:rsidP="00BD1D78">
      <w:r>
        <w:rPr>
          <w:noProof/>
          <w:lang w:eastAsia="en-GB"/>
        </w:rPr>
        <w:drawing>
          <wp:inline distT="0" distB="0" distL="0" distR="0" wp14:anchorId="20B734C2" wp14:editId="7A775212">
            <wp:extent cx="5400000" cy="2160000"/>
            <wp:effectExtent l="0" t="0" r="0" b="0"/>
            <wp:docPr id="20" name="Picture 20" descr="This visualisation shows the number of serious assaults per division in the year to date (blue columns) compared to their five-year mean (pink line) with divisions in light blue below their five-year mean and divisions in dark blue above. The breakdown of serious assaults for each local policing division and their percentage increase or decrease from the five-year mean is:&#10;&#10;A Division – 225 YTD against five-year mean of 227.8, down 1.2%&#10;D Division – 211 YTD against five-year mean of 214.2, down 1.5%&#10;N Division – 118 YTD against five-year mean of 97.0, up 21.6%&#10;C Division – 105 YTD against five-year mean of 153.0, down 31.4%&#10;E Division – 199 YTD against five-year mean of 237.2, down 16.1%&#10;J Division – 209 YTD against five-year mean of 198.6, up 5.2%&#10;P Division – 120 YTD against five-year mean of 174.2, down 31.1%&#10;G Division – 510 YTD against five-year mean of 660.6, down 22.8%&#10;K Division – 125 YTD against five-year mean of 155.0, down 19.4%&#10;L Division – 85 YTD against five-year mean of 92.6, down 8.2%&#10;Q Division – 347 YTD against five-year mean of 385.8, down 10.1%&#10;U Division – 136 YTD against five-year mean of 157.6, down 13.7%&#10;V Division – 65 YTD against five-year mean of 61.4, up 5.9%&#10;" title="Serious Assaults by Division Visualis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0"/>
                    <a:stretch>
                      <a:fillRect/>
                    </a:stretch>
                  </pic:blipFill>
                  <pic:spPr>
                    <a:xfrm>
                      <a:off x="0" y="0"/>
                      <a:ext cx="5400000" cy="2160000"/>
                    </a:xfrm>
                    <a:prstGeom prst="rect">
                      <a:avLst/>
                    </a:prstGeom>
                  </pic:spPr>
                </pic:pic>
              </a:graphicData>
            </a:graphic>
          </wp:inline>
        </w:drawing>
      </w:r>
    </w:p>
    <w:p w14:paraId="34CA2E55" w14:textId="06ACD4FD" w:rsidR="0092631F" w:rsidRDefault="00287D5E" w:rsidP="0092631F">
      <w:r>
        <w:t>During</w:t>
      </w:r>
      <w:r w:rsidR="0092631F">
        <w:t xml:space="preserve"> 2023/24</w:t>
      </w:r>
      <w:r>
        <w:t xml:space="preserve">, Greater Glasgow </w:t>
      </w:r>
      <w:r w:rsidR="0092631F">
        <w:t xml:space="preserve">Division have reported </w:t>
      </w:r>
      <w:r>
        <w:t>504 serious assaults,</w:t>
      </w:r>
      <w:r w:rsidR="0092631F">
        <w:t xml:space="preserve"> the lowest number recorded during the reporting period (previous five years). Glasgow’s reported serious assaults are below:</w:t>
      </w:r>
    </w:p>
    <w:p w14:paraId="4B603231" w14:textId="77777777" w:rsidR="0092631F" w:rsidRPr="004E4B15" w:rsidRDefault="0092631F" w:rsidP="000B3832">
      <w:pPr>
        <w:pStyle w:val="Bullets"/>
      </w:pPr>
      <w:r w:rsidRPr="004E4B15">
        <w:t>the lower control limit (593)</w:t>
      </w:r>
    </w:p>
    <w:p w14:paraId="44726E4C" w14:textId="77777777" w:rsidR="0092631F" w:rsidRPr="004E4B15" w:rsidRDefault="0092631F" w:rsidP="000B3832">
      <w:pPr>
        <w:pStyle w:val="Bullets"/>
      </w:pPr>
      <w:r w:rsidRPr="004E4B15">
        <w:t>2022/23 (534)</w:t>
      </w:r>
    </w:p>
    <w:p w14:paraId="6321E960" w14:textId="083C5026" w:rsidR="0092631F" w:rsidRDefault="0092631F" w:rsidP="00213FE4">
      <w:pPr>
        <w:pStyle w:val="Bullets"/>
        <w:spacing w:after="120"/>
      </w:pPr>
      <w:r w:rsidRPr="004E4B15">
        <w:t>the five</w:t>
      </w:r>
      <w:r w:rsidR="00B45FF3">
        <w:t>-</w:t>
      </w:r>
      <w:r w:rsidR="00052644">
        <w:t>year mean (660.2)</w:t>
      </w:r>
    </w:p>
    <w:tbl>
      <w:tblPr>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CE7215" w:rsidRPr="00CE7215" w14:paraId="6047F2F9" w14:textId="77777777" w:rsidTr="00001D01">
        <w:trPr>
          <w:trHeight w:val="680"/>
        </w:trPr>
        <w:tc>
          <w:tcPr>
            <w:tcW w:w="9862" w:type="dxa"/>
            <w:shd w:val="clear" w:color="auto" w:fill="FFE599" w:themeFill="accent4" w:themeFillTint="66"/>
            <w:vAlign w:val="center"/>
            <w:hideMark/>
          </w:tcPr>
          <w:p w14:paraId="66EE5536" w14:textId="3C46189D" w:rsidR="00CE7215" w:rsidRPr="00CE7215" w:rsidRDefault="00CE7215" w:rsidP="00CE7215">
            <w:pPr>
              <w:pStyle w:val="TableHeaderLeft"/>
            </w:pPr>
            <w:r w:rsidRPr="00CE7215">
              <w:t>Proactive/Preventative Policing – G Division Serious Assaults Good Practice</w:t>
            </w:r>
          </w:p>
        </w:tc>
      </w:tr>
      <w:tr w:rsidR="00CE7215" w:rsidRPr="00CE7215" w14:paraId="5DCEB7E2" w14:textId="77777777" w:rsidTr="00CE7215">
        <w:trPr>
          <w:trHeight w:val="680"/>
        </w:trPr>
        <w:tc>
          <w:tcPr>
            <w:tcW w:w="9862" w:type="dxa"/>
            <w:shd w:val="clear" w:color="auto" w:fill="FFF2CC" w:themeFill="accent4" w:themeFillTint="33"/>
            <w:vAlign w:val="center"/>
            <w:hideMark/>
          </w:tcPr>
          <w:p w14:paraId="218D9B30" w14:textId="77777777" w:rsidR="00CE7215" w:rsidRDefault="00CE7215" w:rsidP="00CE7215">
            <w:pPr>
              <w:pStyle w:val="TableBodyLeft"/>
            </w:pPr>
            <w:r>
              <w:t>Area commanders utilise reports and dashboards to best understand any trends and alongside the local knowledge of officers put plans in place to mitigate any risks. This includes pre-cursors to serious assaults such as disturbances and/or problematic addresses etc.</w:t>
            </w:r>
          </w:p>
          <w:p w14:paraId="508735F0" w14:textId="77777777" w:rsidR="00CE7215" w:rsidRDefault="00CE7215" w:rsidP="00CE7215">
            <w:pPr>
              <w:pStyle w:val="TableBodyLeft"/>
            </w:pPr>
            <w:r>
              <w:t>An effective Serious and Organised Crime Disruption Unit is in place which does great work in impacting on the influence of these groups.</w:t>
            </w:r>
          </w:p>
          <w:p w14:paraId="6E2D062F" w14:textId="77777777" w:rsidR="00CE7215" w:rsidRDefault="00CE7215" w:rsidP="00CE7215">
            <w:pPr>
              <w:pStyle w:val="TableBodyLeft"/>
            </w:pPr>
            <w:r>
              <w:t>Our Licensing department are quickly on top of any premises that are identified as not being run properly.</w:t>
            </w:r>
          </w:p>
          <w:p w14:paraId="50533CA6" w14:textId="77777777" w:rsidR="00CE7215" w:rsidRDefault="00CE7215" w:rsidP="00CE7215">
            <w:pPr>
              <w:pStyle w:val="TableBodyLeft"/>
            </w:pPr>
            <w:r>
              <w:t>We have managed to maintain community policing which is critical in helping to impact on the risks in the community.</w:t>
            </w:r>
          </w:p>
          <w:p w14:paraId="3643B049" w14:textId="3E8257E5" w:rsidR="00CE7215" w:rsidRPr="00CE7215" w:rsidRDefault="00CE7215" w:rsidP="00CE7215">
            <w:pPr>
              <w:pStyle w:val="TableBodyLeft"/>
            </w:pPr>
            <w:r>
              <w:t>Detection rates for serious assaults in G Division are at the highest they have been at any time over the last five years. The increased identification of accused has helped us better understand the reasons for committing the crimes and carry out prevention work to disrupt any further escalation.</w:t>
            </w:r>
          </w:p>
        </w:tc>
      </w:tr>
    </w:tbl>
    <w:p w14:paraId="67E371B3" w14:textId="77777777" w:rsidR="000B3832" w:rsidRPr="000B3832" w:rsidRDefault="000B3832" w:rsidP="000B3832">
      <w:pPr>
        <w:spacing w:before="0" w:after="0"/>
        <w:rPr>
          <w:lang w:eastAsia="en-GB"/>
        </w:rPr>
      </w:pPr>
    </w:p>
    <w:p w14:paraId="38A0851A" w14:textId="1C93DF2E" w:rsidR="00034DE9" w:rsidRPr="00034DE9" w:rsidRDefault="00034DE9" w:rsidP="00BD1D78">
      <w:r>
        <w:rPr>
          <w:noProof/>
          <w:lang w:eastAsia="en-GB"/>
        </w:rPr>
        <w:lastRenderedPageBreak/>
        <w:drawing>
          <wp:inline distT="0" distB="0" distL="0" distR="0" wp14:anchorId="6FE5B8B5" wp14:editId="3A1E3518">
            <wp:extent cx="5400000" cy="2160000"/>
            <wp:effectExtent l="0" t="0" r="0" b="0"/>
            <wp:docPr id="25" name="Picture 25" descr="This visualisation shows the number of serious assaults in Glasgow in the YTD by SIMD with 1 the most deprived and 10 most affluent areas broken down as follows:&#10;&#10;36.7% of serious assaults occurred in SIMD 1;&#10;14.4% in SIMD 2 (51.1% in SIMD 1-2 combined);&#10;5.8% in SIMD 3 (56.9% in SIMD 1-3 combined);&#10;9.4% in SIMD 4 (66.3% in SIMD 1-4 combined);&#10;5.2% in SIMD 5 (71.5% in SIMD 1-5 combined);&#10;9.5% in SIMD 6 (81.0% in SIMD 1-6 combined);&#10;3.0% in SIMD 7 (84.0% in SIMD 1-7 combined);&#10;11.4% in SIMD 8 (95.4% in SIMD 1-8 combined);&#10;3.2% in SIMD 9 (98.6% in SIMD 1-9 combined); and&#10;1.4% in SIMD 10 (100.0% in SIMD 1-10 combined)  &#10;" title="Serious Assaults in Glasgow by SIMD Visualis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1"/>
                    <a:stretch>
                      <a:fillRect/>
                    </a:stretch>
                  </pic:blipFill>
                  <pic:spPr>
                    <a:xfrm>
                      <a:off x="0" y="0"/>
                      <a:ext cx="5400000" cy="2160000"/>
                    </a:xfrm>
                    <a:prstGeom prst="rect">
                      <a:avLst/>
                    </a:prstGeom>
                  </pic:spPr>
                </pic:pic>
              </a:graphicData>
            </a:graphic>
          </wp:inline>
        </w:drawing>
      </w:r>
    </w:p>
    <w:p w14:paraId="111A2068" w14:textId="77777777" w:rsidR="00213FE4" w:rsidRDefault="0092631F" w:rsidP="00E314B5">
      <w:r>
        <w:t xml:space="preserve">However, despite this overall downward trend in serious assaults in Glasgow, Police Scotland </w:t>
      </w:r>
      <w:r w:rsidR="00841E5D">
        <w:t>data</w:t>
      </w:r>
      <w:r>
        <w:t xml:space="preserve"> </w:t>
      </w:r>
      <w:r w:rsidR="00841E5D">
        <w:t>analytics</w:t>
      </w:r>
      <w:r>
        <w:t xml:space="preserve"> highlighted that a disproportionate number of these crimes have occurred in Glasgow’s most deprived deciles. For example, as seen from above over one third of these crimes occurred in the most deprived </w:t>
      </w:r>
      <w:r w:rsidR="00841E5D">
        <w:t>decile</w:t>
      </w:r>
      <w:r>
        <w:t xml:space="preserve"> in Scotland and over half of serious assaults occurred in</w:t>
      </w:r>
      <w:r w:rsidR="00213FE4">
        <w:t xml:space="preserve"> the two most deprived deciles.</w:t>
      </w:r>
    </w:p>
    <w:p w14:paraId="3EA38730" w14:textId="3259F998" w:rsidR="00793911" w:rsidRPr="00E314B5" w:rsidRDefault="0092631F" w:rsidP="00E314B5">
      <w:r>
        <w:t>I</w:t>
      </w:r>
      <w:r w:rsidR="00F579AB">
        <w:t>t</w:t>
      </w:r>
      <w:r>
        <w:t xml:space="preserve"> should also be noted that Renfrewshire and Inverclyde share a similar pattern to Glasgow</w:t>
      </w:r>
      <w:r w:rsidR="00F579AB">
        <w:t xml:space="preserve"> whilst</w:t>
      </w:r>
      <w:r>
        <w:t xml:space="preserve"> at a Force level, Scotland’s three most deprived areas account for just over half of serious assaults (53.4%).</w:t>
      </w:r>
    </w:p>
    <w:p w14:paraId="33E44E96" w14:textId="3EE49415" w:rsidR="00EF01BE" w:rsidRDefault="00EF01BE" w:rsidP="002554CE">
      <w:pPr>
        <w:pStyle w:val="Heading4"/>
      </w:pPr>
      <w:r>
        <w:t>Non Sexual Crimes of Violence (Group 1)</w:t>
      </w:r>
    </w:p>
    <w:p w14:paraId="48B6C124" w14:textId="0D38209C" w:rsidR="00E314B5" w:rsidRPr="00E314B5" w:rsidRDefault="00967C9E" w:rsidP="00E314B5">
      <w:r>
        <w:rPr>
          <w:noProof/>
          <w:lang w:eastAsia="en-GB"/>
        </w:rPr>
        <w:drawing>
          <wp:inline distT="0" distB="0" distL="0" distR="0" wp14:anchorId="3D47C827" wp14:editId="45AAF38B">
            <wp:extent cx="6264000" cy="1800000"/>
            <wp:effectExtent l="0" t="0" r="3810" b="0"/>
            <wp:docPr id="24" name="Picture 24" descr="This visualisation shows Non Sexual Crimes of Violence (Group 1) at the end of quarter 3 compared to the previous year and last five-years.&#10;&#10;The first section (recorded YTD comparison) shows 7,623 Group 1 crimes PYTD compared to 8,738 YTD. Up 14.6% on last year. The six month sparkline shows the highest volume of Group 1 crime in August (1,063) and lowest volume in December (867).&#10;&#10;The second section (recorded five-year comparison) shows the five-year mean for Group 1 crimes is 7,041.4 compared to 8,738 YTD. Up 24.1% on five-year mean. The five-year sparkline shows the highest volume of Group 1 crimes in 2023/24 YTD (8,738) and lowest volume in 2020/21 YTD (6,864).&#10;&#10;The third section (recorded detection rate comparison) shows the detection rate for Group 1 crimes was 62.3% in PYTD compared to 59.7% in YTD. Down 2.6% points on last year. The five-year sparkline shows the highest detection rate in 2020/21 (73.3%) and lowest in 2023/24 (59.7%)." title="Non Sexual Crimes of Violence (Group 1) Visualis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2"/>
                    <a:stretch>
                      <a:fillRect/>
                    </a:stretch>
                  </pic:blipFill>
                  <pic:spPr>
                    <a:xfrm>
                      <a:off x="0" y="0"/>
                      <a:ext cx="6264000" cy="1800000"/>
                    </a:xfrm>
                    <a:prstGeom prst="rect">
                      <a:avLst/>
                    </a:prstGeom>
                  </pic:spPr>
                </pic:pic>
              </a:graphicData>
            </a:graphic>
          </wp:inline>
        </w:drawing>
      </w:r>
    </w:p>
    <w:p w14:paraId="39EFC00C" w14:textId="70D35411" w:rsidR="00720FBF" w:rsidRDefault="00720FBF" w:rsidP="00DF2252">
      <w:r w:rsidRPr="00720FBF">
        <w:t xml:space="preserve">As has been highlighted in previous reports, the number of non-sexual crimes of violence continues to show an increase from previous years due to factors such as continual increase in threats </w:t>
      </w:r>
      <w:r w:rsidR="00C02DF2">
        <w:t>and</w:t>
      </w:r>
      <w:r w:rsidRPr="00720FBF">
        <w:t xml:space="preserve"> extortions and drugging crimes being recorded, although the increase in the number of robbery crimes described above has also had an impact.</w:t>
      </w:r>
    </w:p>
    <w:p w14:paraId="77A9A452" w14:textId="527B40BA" w:rsidR="006A7430" w:rsidRPr="006A7430" w:rsidRDefault="006A7430" w:rsidP="006A7430">
      <w:r w:rsidRPr="006A7430">
        <w:t xml:space="preserve">Threats </w:t>
      </w:r>
      <w:r w:rsidR="00C02DF2">
        <w:t>and</w:t>
      </w:r>
      <w:r w:rsidRPr="006A7430">
        <w:t xml:space="preserve"> extortions have been on a downwards monthly trajectory since August 2023 with the last two months having recorded fewer crimes than their respective months last year. Year to date figures do however remain up on both last year and the five</w:t>
      </w:r>
      <w:r w:rsidR="003F5C91">
        <w:t>-</w:t>
      </w:r>
      <w:r w:rsidRPr="006A7430">
        <w:t>year mean, by 43.3% and 178.8% respectively.</w:t>
      </w:r>
    </w:p>
    <w:p w14:paraId="7E7247BD" w14:textId="77777777" w:rsidR="00EF01BE" w:rsidRDefault="00EF01BE" w:rsidP="002554CE">
      <w:pPr>
        <w:pStyle w:val="Heading4"/>
      </w:pPr>
      <w:r w:rsidRPr="00EF01BE">
        <w:lastRenderedPageBreak/>
        <w:t>Public Protection – Equality Outcome 4</w:t>
      </w:r>
    </w:p>
    <w:p w14:paraId="3F6B3EA0" w14:textId="58773959" w:rsidR="00FB0130" w:rsidRDefault="00400D25" w:rsidP="00FB0130">
      <w:r>
        <w:rPr>
          <w:noProof/>
          <w:lang w:eastAsia="en-GB"/>
        </w:rPr>
        <w:drawing>
          <wp:inline distT="0" distB="0" distL="0" distR="0" wp14:anchorId="70DFFDBF" wp14:editId="65705B00">
            <wp:extent cx="6264000" cy="3600000"/>
            <wp:effectExtent l="0" t="0" r="3810" b="635"/>
            <wp:docPr id="416460812" name="Picture 416460812" descr="This visualisation shows Group 2 Sexual Crime and Group 2 Sexual Crime – Recent/Non Recent at the end of quarter 3 compared to the previous year and last five-years.&#10;&#10;The first section (recorded YTD comparison) shows 10,803 sexual crimes PYTD compared to 11,142 YTD. Up 3.1% on last year. The six month sparkline shows the highest volume of sexual crime in October (1,261) and lowest volume in July (1,103). There were 8,449 recent sexual crimes PYTD compared to 8,450 YTD. No percentage change from last year. There were 2,354 non-recent sexual crimes PYTD compared to 2,692 YTD. Up 14.4% on last year. Six month sparkline figures have not been included for recent/non recent group 2 crime.&#10;&#10;The second section (recorded five-year comparison) shows the five-year mean for sexual crimes is 10,439.8 compared to 11,142 YTD. Up 6.7% on five-year mean. The five-year sparkline shows the highest volume of sexual crimes in 2021/22 YTD (11,356) and lowest volume in 2020/21 YTD (9,922). The five-year mean for recent sexual crimes is 7,899.8 compared to 8,450 YTD. Up 7.0% on five-year mean. The five-year sparkline shows the highest volume of recent sexual crimes in 2021/22 YTD (8,682) and lowest volume in 2020/21 YTD (7,340). The five-year mean for non-recent sexual crimes is 2,540.0 compared to 2,692 YTD. Up 6.0% on five-year mean. The five-year sparkline shows the highest volume of non-recent sexual crimes in 2023/24 YTD (2,692) and lowest volume in 2022/23 YTD (2,354).&#10;&#10;The third section (recorded detection rate/proportion comparison) shows the detection rate for sexual crimes was 54.6% in PYTD compared to 55.7% in YTD. Up 1.1% points on last year. The five-year sparkline shows the highest detection rate in 2020/21 (59.5%) and lowest in 2021/22 (53.1%). The proportion of recent sexual crime was 78.2% in PYTD compared to 75.8% in YTD. Down 2.4% points on last year. The five-year sparkline shows the highest proportion in 2022/23 (78.2%) and lowest in 2020/21 (74.0%). The proportion of non-recent sexual crime was 21.8% in PYTD compared to 24.2% in YTD. Up 2.4% points on last year. The five-year sparkline shows the highest proportion in 2020/21 (26.0%) and lowest in 2022/23 (21.8%)." title="Group 2 Sexual Crime Visualis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3"/>
                    <a:stretch>
                      <a:fillRect/>
                    </a:stretch>
                  </pic:blipFill>
                  <pic:spPr>
                    <a:xfrm>
                      <a:off x="0" y="0"/>
                      <a:ext cx="6264000" cy="3600000"/>
                    </a:xfrm>
                    <a:prstGeom prst="rect">
                      <a:avLst/>
                    </a:prstGeom>
                  </pic:spPr>
                </pic:pic>
              </a:graphicData>
            </a:graphic>
          </wp:inline>
        </w:drawing>
      </w:r>
    </w:p>
    <w:p w14:paraId="53C5FFFF" w14:textId="40C8FE75" w:rsidR="00701DE0" w:rsidRDefault="00701DE0" w:rsidP="00FB0130">
      <w:r w:rsidRPr="00BE66CD">
        <w:rPr>
          <w:shd w:val="clear" w:color="auto" w:fill="FFF2CC" w:themeFill="accent4" w:themeFillTint="33"/>
        </w:rPr>
        <w:t xml:space="preserve">Note: </w:t>
      </w:r>
      <w:r>
        <w:rPr>
          <w:shd w:val="clear" w:color="auto" w:fill="FFF2CC" w:themeFill="accent4" w:themeFillTint="33"/>
        </w:rPr>
        <w:t>Detection rate comparison used for Group 2 Sexual Crime. Proportion comparison used for Group 2 Sexual Crime - Recent and Group 2 Sexual Crime - Non Recent.</w:t>
      </w:r>
    </w:p>
    <w:p w14:paraId="1D31E0D8" w14:textId="77777777" w:rsidR="00FB0130" w:rsidRDefault="005B6DBB" w:rsidP="00FB0130">
      <w:r w:rsidRPr="007E5AA5">
        <w:t xml:space="preserve">Overall sexual crime increased during the reporting period, up </w:t>
      </w:r>
      <w:r>
        <w:t>3.1</w:t>
      </w:r>
      <w:r w:rsidRPr="007E5AA5">
        <w:t>% (</w:t>
      </w:r>
      <w:r>
        <w:t>339</w:t>
      </w:r>
      <w:r w:rsidRPr="007E5AA5">
        <w:t xml:space="preserve"> crimes) compared to last year and up 6.</w:t>
      </w:r>
      <w:r>
        <w:t>7</w:t>
      </w:r>
      <w:r w:rsidRPr="007E5AA5">
        <w:t>% (</w:t>
      </w:r>
      <w:r>
        <w:t>702</w:t>
      </w:r>
      <w:r w:rsidRPr="007E5AA5">
        <w:t xml:space="preserve"> crimes) compared to the five-year mean. </w:t>
      </w:r>
      <w:r>
        <w:t>A decreasing trend was noticed during May to July 2023, with July 2023 recording the fewest number of sexual c</w:t>
      </w:r>
      <w:r w:rsidR="00FB0130">
        <w:t>rimes over the 12-month period.</w:t>
      </w:r>
    </w:p>
    <w:p w14:paraId="773E5C66" w14:textId="509BF311" w:rsidR="00F063A6" w:rsidRDefault="005B6DBB" w:rsidP="00FB0130">
      <w:r w:rsidRPr="007E5AA5">
        <w:t xml:space="preserve">The drivers of the increase are sexual exposure, </w:t>
      </w:r>
      <w:r w:rsidRPr="008C6314">
        <w:t>sexual assault by penetration – F</w:t>
      </w:r>
      <w:r>
        <w:t xml:space="preserve"> </w:t>
      </w:r>
      <w:r w:rsidRPr="008C6314">
        <w:t xml:space="preserve">(16+), communicating indecently </w:t>
      </w:r>
      <w:r w:rsidRPr="007E5AA5">
        <w:t xml:space="preserve">and </w:t>
      </w:r>
      <w:r w:rsidRPr="008C6314">
        <w:t>sexual assault – M (16+)</w:t>
      </w:r>
      <w:r w:rsidRPr="007E5AA5">
        <w:t>.</w:t>
      </w:r>
    </w:p>
    <w:p w14:paraId="5FC685F4" w14:textId="4052DC77" w:rsidR="005B6DBB" w:rsidRPr="00213FE4" w:rsidRDefault="005B6DBB" w:rsidP="005B6DBB">
      <w:r w:rsidRPr="00744A51">
        <w:t>Recent reporting increased compared to the same period las</w:t>
      </w:r>
      <w:r w:rsidR="00213FE4">
        <w:t xml:space="preserve">t year and the five-year mean (up </w:t>
      </w:r>
      <w:r w:rsidRPr="00744A51">
        <w:t xml:space="preserve">7.0%, 550 crimes). Non-recent reporting also noted </w:t>
      </w:r>
      <w:r w:rsidR="00213FE4">
        <w:t xml:space="preserve">an increase against last year (up </w:t>
      </w:r>
      <w:r w:rsidRPr="00744A51">
        <w:t>14.</w:t>
      </w:r>
      <w:r>
        <w:t>4</w:t>
      </w:r>
      <w:r w:rsidRPr="00744A51">
        <w:t>%, 338 crimes</w:t>
      </w:r>
      <w:r>
        <w:t xml:space="preserve">) and </w:t>
      </w:r>
      <w:r w:rsidR="00213FE4">
        <w:t xml:space="preserve">the five-year mean (up </w:t>
      </w:r>
      <w:r>
        <w:t xml:space="preserve">6.0%, </w:t>
      </w:r>
      <w:r w:rsidR="00213FE4">
        <w:t>152 crimes).</w:t>
      </w:r>
    </w:p>
    <w:p w14:paraId="717DA01B" w14:textId="2AF94211" w:rsidR="00F063A6" w:rsidRDefault="005B6DBB" w:rsidP="00744A51">
      <w:r w:rsidRPr="00744A51">
        <w:t>The proportion of non-recent reporting of sexual crime increased slightly up 2.4</w:t>
      </w:r>
      <w:r>
        <w:t xml:space="preserve"> percentage</w:t>
      </w:r>
      <w:r w:rsidRPr="00744A51">
        <w:t xml:space="preserve"> points compared to last year, however, is down 0.</w:t>
      </w:r>
      <w:r>
        <w:t>1 percentage</w:t>
      </w:r>
      <w:r w:rsidRPr="00744A51">
        <w:t xml:space="preserve"> points against the five-year mean.</w:t>
      </w:r>
    </w:p>
    <w:p w14:paraId="431FFD32" w14:textId="02E2E78E" w:rsidR="00D74744" w:rsidRDefault="00D74744" w:rsidP="002554CE">
      <w:pPr>
        <w:pStyle w:val="Heading4"/>
      </w:pPr>
      <w:r w:rsidRPr="00A16AD2">
        <w:lastRenderedPageBreak/>
        <w:t>Rape</w:t>
      </w:r>
    </w:p>
    <w:p w14:paraId="3CD8AA5F" w14:textId="15BC916E" w:rsidR="00F063A6" w:rsidRDefault="00400D25" w:rsidP="00F063A6">
      <w:r>
        <w:rPr>
          <w:noProof/>
          <w:lang w:eastAsia="en-GB"/>
        </w:rPr>
        <w:drawing>
          <wp:inline distT="0" distB="0" distL="0" distR="0" wp14:anchorId="7E23EA5F" wp14:editId="43213B01">
            <wp:extent cx="6264000" cy="3600000"/>
            <wp:effectExtent l="0" t="0" r="3810" b="635"/>
            <wp:docPr id="416460811" name="Picture 416460811" descr="This visualisation shows rape crime and rape crime recent/non-recent at the end of quarter 3 compared to the previous year and last five-years.&#10;&#10;The first section (recorded YTD comparison) shows 1,807 rape crimes PYTD compared to 1,805 YTD. Down 0.1% on last year. The six month sparkline shows the highest volume of rape crimes in November (227) and lowest volume in July (144). There were 1,147 recent rape crimes PYTD compared to 1,054 YTD. Down 8.1% on last year. There were 660 non-recent rape crimes PYTD compared to 751 YTD. Up 13.8% on last year. Six month sparkline figures have not been included for recent/non recent rape crimes.&#10;&#10;The second section (recorded five-year comparison) shows the five-year mean for rape crimes is 1,743.8 compared to 1,805 YTD. Up 3.5% on five-year mean. The five-year sparkline shows the highest volume of rape crimes in 2022/23 YTD (1,807) and lowest volume in 2020/21 YTD (1,659). The Five-year mean for recent rape crimes is 1,056.2 compared to 1,054 YTD. Down 0.2% on five-year mean. The five-year sparkline shows the highest volume of recent rape crimes in 2022/23 YTD (1,147) and lowest volume in 2020/21 YTD (945). The five-year mean for non-recent rape crimes is 687.6 compared to 751 YTD. Up 9.2% on five-year mean. The five-year sparkline shows the highest volume of non-recent rape crimes in 2023/24 YTD (751) and lowest volume in 2022/23 YTD (660).&#10;&#10;The third section (recorded detection rate/proportion comparison) shows the detection rate for rape crimes was 53.0% in PYTD compared to 49.6% in YTD. Down 3.4% points on last year. The five-year sparkline shows the highest detection rate in 2020/21 (60.6%) and lowest in 2023/24 (49.6%). The proportion of recent rape crime was 63.5% in PYTD compared to 58.4% in YTD. Down 5.1% points on last year. The five-year sparkline shows the highest proportion in 2022/23 (63.5%) and lowest in 2020/21 (57.0%). The proportion of non-recent rape crimes was 36.5% in PYTD compared to 41.6% in YTD. Up 5.1% points on last year. The five-year sparkline shows the highest proportion in 2020/21 (43.0%) and lowest in 2022/23 (36.5%)." title="Rape Visualis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4"/>
                    <a:stretch>
                      <a:fillRect/>
                    </a:stretch>
                  </pic:blipFill>
                  <pic:spPr>
                    <a:xfrm>
                      <a:off x="0" y="0"/>
                      <a:ext cx="6264000" cy="3600000"/>
                    </a:xfrm>
                    <a:prstGeom prst="rect">
                      <a:avLst/>
                    </a:prstGeom>
                  </pic:spPr>
                </pic:pic>
              </a:graphicData>
            </a:graphic>
          </wp:inline>
        </w:drawing>
      </w:r>
    </w:p>
    <w:p w14:paraId="7A035D31" w14:textId="263420AB" w:rsidR="00701DE0" w:rsidRDefault="00701DE0" w:rsidP="0012624B">
      <w:pPr>
        <w:rPr>
          <w:shd w:val="clear" w:color="auto" w:fill="FFF2CC" w:themeFill="accent4" w:themeFillTint="33"/>
        </w:rPr>
      </w:pPr>
      <w:r w:rsidRPr="00BE66CD">
        <w:rPr>
          <w:shd w:val="clear" w:color="auto" w:fill="FFF2CC" w:themeFill="accent4" w:themeFillTint="33"/>
        </w:rPr>
        <w:t xml:space="preserve">Note: </w:t>
      </w:r>
      <w:r>
        <w:rPr>
          <w:shd w:val="clear" w:color="auto" w:fill="FFF2CC" w:themeFill="accent4" w:themeFillTint="33"/>
        </w:rPr>
        <w:t>Detection rate comparison used for Rape Crime. Proportion comparison used for Rape Crime - Recent and Rape Crime - Non Recent.</w:t>
      </w:r>
    </w:p>
    <w:p w14:paraId="18406AA7" w14:textId="702EF04F" w:rsidR="0012624B" w:rsidRPr="00213FE4" w:rsidRDefault="0012624B" w:rsidP="0012624B">
      <w:r w:rsidRPr="00DE09D1">
        <w:t>Reported crimes of rape decreased during the reporting period, down by 0.1% (</w:t>
      </w:r>
      <w:r w:rsidR="00213FE4">
        <w:t>two</w:t>
      </w:r>
      <w:r w:rsidRPr="00DE09D1">
        <w:t xml:space="preserve"> crimes) compared to the same period last year. An increase was noted against the five-year mean, up 3.5% (62 crimes). </w:t>
      </w:r>
      <w:r>
        <w:t>Similar to Group 2 the number o</w:t>
      </w:r>
      <w:r w:rsidR="00F23112">
        <w:t>f</w:t>
      </w:r>
      <w:r>
        <w:t xml:space="preserve"> rapes recorded in the month of July was the lowest during the 12-month period.</w:t>
      </w:r>
    </w:p>
    <w:p w14:paraId="7DC0C02B" w14:textId="351C6E2E" w:rsidR="0012624B" w:rsidRDefault="0012624B" w:rsidP="0012624B">
      <w:r w:rsidRPr="00FF3B77">
        <w:t>During the reporting period the detection rate for rape was 49.6%, a decrease against the same period last year (down 3.4 percentage points) and also compared to the five-year mean (down 4.6 percentage points).</w:t>
      </w:r>
    </w:p>
    <w:p w14:paraId="47F0CA4C" w14:textId="49D07E68" w:rsidR="00156C1A" w:rsidRDefault="00096243" w:rsidP="00BD1D78">
      <w:r>
        <w:rPr>
          <w:noProof/>
          <w:lang w:eastAsia="en-GB"/>
        </w:rPr>
        <w:drawing>
          <wp:inline distT="0" distB="0" distL="0" distR="0" wp14:anchorId="7B8DA09B" wp14:editId="473CBE2C">
            <wp:extent cx="5400000" cy="2160000"/>
            <wp:effectExtent l="0" t="0" r="0" b="0"/>
            <wp:docPr id="31" name="Picture 31" descr="This visualisation shows the number of detections for rape crimes per division in the year to date (blue columns) compared to their five-year mean (pink line) with light blue below the respective five-year mean and dark blue above. The breakdown of rape detections for each local policing division and their percentage increase or decrease from the five-year mean is:&#10;&#10;A Division – 80 YTD against five-year mean of 91.6, down 12.7%&#10;D Division –75 YTD against five-year mean of 92.0, down 18.5%&#10;N Division – 43 YTD against five-year mean of 56.2, down 23.5%&#10;C Division – 50 YTD against five-year mean of 44.6, up 12.1%&#10;E Division – 70 YTD against five-year mean of 91.6, down 23.6%&#10;J Division – 82 YTD against five-year mean of 101.8, down 19.4%&#10;P Division – 101 YTD against five-year mean of 111.0, down 9.0%&#10;G Division – 95 YTD against five-year mean of 112.2, down 15.3%&#10;U Division – 91 YTD against five-year mean of 41.6, up 118.8%&#10;Q Division – 98 YTD against five-year mean of 87.4, up 12.1%&#10;L Division – 32 YTD against five-year mean of 30.6, up 4.6%&#10;K Division – 55 YTD against five-year mean of 53.2, up 3.4%&#10;V Division – 18 YTD against five-year mean of 31.6, down 43.0%." title="Rape Detections by Division Visualis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00" cy="2160000"/>
                    </a:xfrm>
                    <a:prstGeom prst="rect">
                      <a:avLst/>
                    </a:prstGeom>
                    <a:noFill/>
                  </pic:spPr>
                </pic:pic>
              </a:graphicData>
            </a:graphic>
          </wp:inline>
        </w:drawing>
      </w:r>
    </w:p>
    <w:p w14:paraId="1A7ABF02" w14:textId="77777777" w:rsidR="00156C1A" w:rsidRDefault="00156C1A" w:rsidP="00096243">
      <w:pPr>
        <w:spacing w:before="0" w:after="0"/>
      </w:pPr>
    </w:p>
    <w:tbl>
      <w:tblPr>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CE7215" w:rsidRPr="00CE7215" w14:paraId="401D26B0" w14:textId="77777777" w:rsidTr="00001D01">
        <w:trPr>
          <w:trHeight w:val="680"/>
        </w:trPr>
        <w:tc>
          <w:tcPr>
            <w:tcW w:w="9862" w:type="dxa"/>
            <w:shd w:val="clear" w:color="auto" w:fill="FFE599" w:themeFill="accent4" w:themeFillTint="66"/>
            <w:vAlign w:val="center"/>
            <w:hideMark/>
          </w:tcPr>
          <w:p w14:paraId="1AE0E0CF" w14:textId="2579FF6C" w:rsidR="00CE7215" w:rsidRPr="00CE7215" w:rsidRDefault="00CE7215" w:rsidP="00CE7215">
            <w:pPr>
              <w:pStyle w:val="TableHeaderLeft"/>
            </w:pPr>
            <w:r w:rsidRPr="00CE7215">
              <w:t>Proactive/Preventative Policing - Ayrshire (U) Division Detections</w:t>
            </w:r>
          </w:p>
        </w:tc>
      </w:tr>
      <w:tr w:rsidR="00CE7215" w:rsidRPr="00CE7215" w14:paraId="1706C7EB" w14:textId="77777777" w:rsidTr="005C7704">
        <w:trPr>
          <w:trHeight w:val="680"/>
        </w:trPr>
        <w:tc>
          <w:tcPr>
            <w:tcW w:w="9862" w:type="dxa"/>
            <w:shd w:val="clear" w:color="auto" w:fill="FFF2CC" w:themeFill="accent4" w:themeFillTint="33"/>
            <w:vAlign w:val="center"/>
            <w:hideMark/>
          </w:tcPr>
          <w:p w14:paraId="2BB6988B" w14:textId="33968520" w:rsidR="00CE7215" w:rsidRPr="00CE7215" w:rsidRDefault="00CE7215" w:rsidP="00CE7215">
            <w:pPr>
              <w:pStyle w:val="TableBodyLeft"/>
            </w:pPr>
            <w:r w:rsidRPr="00CE7215">
              <w:t>Due to a backlog in their investigations, U Division set up a Proactive Unit for a six-week initiative. This initiative focused on arrests and interviews to be completed for suspects of rape and sexual crime and may help to explain the spike in figures. A good piece of work by U Division to tackle a backlog and prioritise their sexual crimes</w:t>
            </w:r>
            <w:r>
              <w:t>.</w:t>
            </w:r>
          </w:p>
        </w:tc>
      </w:tr>
    </w:tbl>
    <w:p w14:paraId="0FBB0BFD" w14:textId="77777777" w:rsidR="0012624B" w:rsidRPr="00F75373" w:rsidRDefault="0012624B" w:rsidP="0012624B">
      <w:r w:rsidRPr="00F75373">
        <w:t>Non-recent reporting of rape increased by 13.8% (91 crimes) compared to last year and by 9.2% against the five-year mean. The proportion of non-recent rape also increased, up 5.1 percentage points compared to last year and 2.1 percentage points on the five-year mean.</w:t>
      </w:r>
    </w:p>
    <w:p w14:paraId="7E83575A" w14:textId="35CF3B15" w:rsidR="0012624B" w:rsidRPr="0012624B" w:rsidRDefault="0012624B" w:rsidP="0012624B">
      <w:pPr>
        <w:rPr>
          <w:b/>
          <w:bCs/>
        </w:rPr>
      </w:pPr>
      <w:r w:rsidRPr="00F75373">
        <w:t>Recent rapes decreased by 8.1% (93 crimes) against last year and by 0</w:t>
      </w:r>
      <w:r w:rsidR="00213FE4">
        <w:t>.2% against the five-year mean.</w:t>
      </w:r>
    </w:p>
    <w:p w14:paraId="5FB48BA2" w14:textId="234FD313" w:rsidR="007D1564" w:rsidRDefault="007D1564" w:rsidP="002554CE">
      <w:pPr>
        <w:pStyle w:val="Heading4"/>
      </w:pPr>
      <w:r w:rsidRPr="00B453C4">
        <w:t xml:space="preserve">Key </w:t>
      </w:r>
      <w:r w:rsidR="0092734A">
        <w:t>Exception</w:t>
      </w:r>
      <w:r w:rsidRPr="00B453C4">
        <w:t>:</w:t>
      </w:r>
      <w:r>
        <w:t xml:space="preserve"> Reported Rape Exceeds Year-To-Date </w:t>
      </w:r>
      <w:r w:rsidR="003F62DE">
        <w:t>Statistical</w:t>
      </w:r>
      <w:r>
        <w:t xml:space="preserve"> Limit</w:t>
      </w:r>
    </w:p>
    <w:p w14:paraId="2C5DBBF1" w14:textId="77777777" w:rsidR="007D1564" w:rsidRDefault="007D1564" w:rsidP="00BD1D78">
      <w:pPr>
        <w:rPr>
          <w:rFonts w:cs="Arial"/>
          <w:color w:val="000000" w:themeColor="text1"/>
        </w:rPr>
      </w:pPr>
      <w:r>
        <w:rPr>
          <w:noProof/>
          <w:lang w:eastAsia="en-GB"/>
        </w:rPr>
        <w:drawing>
          <wp:inline distT="0" distB="0" distL="0" distR="0" wp14:anchorId="573B6AC3" wp14:editId="703F2B6F">
            <wp:extent cx="5400000" cy="1944000"/>
            <wp:effectExtent l="0" t="0" r="0" b="0"/>
            <wp:docPr id="19" name="Picture 19" descr="This visualisation shows reported rapes per YTD over a six year period compared to the upper confidence limit of 1802.8 crimes.&#10;&#10;2018/19 (1,706 crimes), 2019/20 (1,750 crimes), 2020/21 (1,659 crimes) and 2021/22 (1,797 crimes) are all below the upper limit and highlighted blue.&#10;&#10;2022/23 (1,807 crimes) and 2023/24 (1,805 crimes) are both slightly above the upper limit and highlighted green.&#10;" title="Rape Control Limits Visualis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descr="A graph of different colored rectangular shapes&#10;&#10;Description automatically generated with medium confidence"/>
                    <pic:cNvPicPr preferRelativeResize="0"/>
                  </pic:nvPicPr>
                  <pic:blipFill>
                    <a:blip r:embed="rId26"/>
                    <a:stretch>
                      <a:fillRect/>
                    </a:stretch>
                  </pic:blipFill>
                  <pic:spPr>
                    <a:xfrm>
                      <a:off x="0" y="0"/>
                      <a:ext cx="5400000" cy="1944000"/>
                    </a:xfrm>
                    <a:prstGeom prst="rect">
                      <a:avLst/>
                    </a:prstGeom>
                  </pic:spPr>
                </pic:pic>
              </a:graphicData>
            </a:graphic>
          </wp:inline>
        </w:drawing>
      </w:r>
    </w:p>
    <w:p w14:paraId="22FFCA38" w14:textId="153AC3DE" w:rsidR="007D1564" w:rsidRDefault="007D1564" w:rsidP="007D1564">
      <w:pPr>
        <w:rPr>
          <w:rFonts w:cs="Arial"/>
          <w:color w:val="000000" w:themeColor="text1"/>
        </w:rPr>
      </w:pPr>
      <w:r>
        <w:rPr>
          <w:rFonts w:cs="Arial"/>
          <w:color w:val="000000" w:themeColor="text1"/>
        </w:rPr>
        <w:t>In Q</w:t>
      </w:r>
      <w:r w:rsidR="009A7F69">
        <w:rPr>
          <w:rFonts w:cs="Arial"/>
          <w:color w:val="000000" w:themeColor="text1"/>
        </w:rPr>
        <w:t xml:space="preserve">uarter </w:t>
      </w:r>
      <w:r>
        <w:rPr>
          <w:rFonts w:cs="Arial"/>
          <w:color w:val="000000" w:themeColor="text1"/>
        </w:rPr>
        <w:t xml:space="preserve">3 2023/24 (1,805) the number of reported rapes has decreased by two compared to the previous year (1,807). However, </w:t>
      </w:r>
      <w:r w:rsidR="0012624B">
        <w:rPr>
          <w:rFonts w:cs="Arial"/>
          <w:color w:val="000000" w:themeColor="text1"/>
        </w:rPr>
        <w:t>by</w:t>
      </w:r>
      <w:r>
        <w:rPr>
          <w:rFonts w:cs="Arial"/>
          <w:color w:val="000000" w:themeColor="text1"/>
        </w:rPr>
        <w:t xml:space="preserve"> examining crime types through performance outliers we can determine that despite this decrease </w:t>
      </w:r>
      <w:r w:rsidR="0012624B">
        <w:rPr>
          <w:rFonts w:cs="Arial"/>
          <w:color w:val="000000" w:themeColor="text1"/>
        </w:rPr>
        <w:t>r</w:t>
      </w:r>
      <w:r>
        <w:rPr>
          <w:rFonts w:cs="Arial"/>
          <w:color w:val="000000" w:themeColor="text1"/>
        </w:rPr>
        <w:t xml:space="preserve">ape is still above the upper </w:t>
      </w:r>
      <w:r w:rsidR="003F62DE">
        <w:rPr>
          <w:rFonts w:cs="Arial"/>
          <w:color w:val="000000" w:themeColor="text1"/>
        </w:rPr>
        <w:t>statistical</w:t>
      </w:r>
      <w:r>
        <w:rPr>
          <w:rFonts w:cs="Arial"/>
          <w:color w:val="000000" w:themeColor="text1"/>
        </w:rPr>
        <w:t xml:space="preserve"> limit. Out of the seven sub crime types of rape, three of these are considered above their </w:t>
      </w:r>
      <w:r w:rsidR="003F62DE">
        <w:rPr>
          <w:rFonts w:cs="Arial"/>
          <w:color w:val="000000" w:themeColor="text1"/>
        </w:rPr>
        <w:t>statistical</w:t>
      </w:r>
      <w:r>
        <w:rPr>
          <w:rFonts w:cs="Arial"/>
          <w:color w:val="000000" w:themeColor="text1"/>
        </w:rPr>
        <w:t xml:space="preserve"> limits:</w:t>
      </w:r>
    </w:p>
    <w:p w14:paraId="49FD8CA0" w14:textId="77777777" w:rsidR="007D1564" w:rsidRPr="004609C8" w:rsidRDefault="007D1564" w:rsidP="00052644">
      <w:pPr>
        <w:pStyle w:val="Bullets"/>
      </w:pPr>
      <w:r w:rsidRPr="004609C8">
        <w:t>Rape – Female 16+ (23/24: 1,212, 67.4% of total rapes)</w:t>
      </w:r>
    </w:p>
    <w:p w14:paraId="1F08BE81" w14:textId="77777777" w:rsidR="007D1564" w:rsidRPr="004609C8" w:rsidRDefault="007D1564" w:rsidP="00052644">
      <w:pPr>
        <w:pStyle w:val="Bullets"/>
      </w:pPr>
      <w:r w:rsidRPr="004609C8">
        <w:t>Rape – Male 16+ (23/24: 67, 3.7% of total rapes)</w:t>
      </w:r>
    </w:p>
    <w:p w14:paraId="2D810F51" w14:textId="13769A76" w:rsidR="007D1564" w:rsidRPr="004609C8" w:rsidRDefault="007D1564" w:rsidP="00052644">
      <w:pPr>
        <w:pStyle w:val="Bullets"/>
      </w:pPr>
      <w:r w:rsidRPr="004609C8">
        <w:t xml:space="preserve">Rape </w:t>
      </w:r>
      <w:r w:rsidR="00E26E4B">
        <w:t xml:space="preserve">– </w:t>
      </w:r>
      <w:r w:rsidRPr="004609C8">
        <w:t>Male &lt; 13 (23/24: 29, 2.2% of total rapes)</w:t>
      </w:r>
    </w:p>
    <w:p w14:paraId="5DA7ACC9" w14:textId="3A011923" w:rsidR="0012624B" w:rsidRPr="0012624B" w:rsidRDefault="0012624B" w:rsidP="0012624B">
      <w:pPr>
        <w:rPr>
          <w:rFonts w:cs="Arial"/>
          <w:color w:val="000000" w:themeColor="text1"/>
        </w:rPr>
      </w:pPr>
      <w:r>
        <w:rPr>
          <w:rFonts w:cs="Arial"/>
          <w:color w:val="000000" w:themeColor="text1"/>
        </w:rPr>
        <w:t>The three sub crime types listed above have increased against the previous year and each have recorded the highest number of crimes over the previous six years.</w:t>
      </w:r>
    </w:p>
    <w:p w14:paraId="13FD4F47" w14:textId="2DE70D26" w:rsidR="00E314B5" w:rsidRPr="0012624B" w:rsidRDefault="00841E5D" w:rsidP="00DF2252">
      <w:r>
        <w:t>Data analytics</w:t>
      </w:r>
      <w:r w:rsidR="007D1564" w:rsidRPr="007D1564">
        <w:t xml:space="preserve"> into reported rapes in 2023/24 (Q</w:t>
      </w:r>
      <w:r w:rsidR="00213FE4">
        <w:t xml:space="preserve">uarter </w:t>
      </w:r>
      <w:r w:rsidR="007D1564" w:rsidRPr="007D1564">
        <w:t>1</w:t>
      </w:r>
      <w:r w:rsidR="00213FE4">
        <w:t xml:space="preserve"> to </w:t>
      </w:r>
      <w:r w:rsidR="007D1564" w:rsidRPr="007D1564">
        <w:t>Q</w:t>
      </w:r>
      <w:r w:rsidR="00213FE4">
        <w:t xml:space="preserve">uarter </w:t>
      </w:r>
      <w:r w:rsidR="007D1564" w:rsidRPr="007D1564">
        <w:t>3) from data entered into Police Scotland’s new National Crime Reporting System, highlighted that the location type of ‘residential’ account</w:t>
      </w:r>
      <w:r w:rsidR="00213FE4">
        <w:t>ed for 81.5% of reported rapes.</w:t>
      </w:r>
    </w:p>
    <w:p w14:paraId="16D4EEB1" w14:textId="4BCB9832" w:rsidR="0091371E" w:rsidRDefault="0091371E" w:rsidP="002554CE">
      <w:pPr>
        <w:pStyle w:val="Heading4"/>
      </w:pPr>
      <w:r w:rsidRPr="0091371E">
        <w:lastRenderedPageBreak/>
        <w:t>Child Sexual Abuse (online)</w:t>
      </w:r>
    </w:p>
    <w:p w14:paraId="305372D0" w14:textId="6EDEBC63" w:rsidR="00F75373" w:rsidRDefault="00400D25" w:rsidP="0012624B">
      <w:r>
        <w:rPr>
          <w:noProof/>
          <w:lang w:eastAsia="en-GB"/>
        </w:rPr>
        <w:drawing>
          <wp:inline distT="0" distB="0" distL="0" distR="0" wp14:anchorId="71EE0F0F" wp14:editId="46BEA8F2">
            <wp:extent cx="6264000" cy="1800000"/>
            <wp:effectExtent l="0" t="0" r="3810" b="0"/>
            <wp:docPr id="416460810" name="Picture 416460810" descr="This visualisation shows Online Child Sexual Abuse Crime at the end of quarter 3 compared to the previous year and last five-years.&#10;&#10;The first section (recorded YTD comparison) shows 1,397 online child sexual abuse crimes PYTD compared to 1,472 YTD. Up 5.4% on last year. The six month sparkline shows the highest volume of online child sexual abuse crimes in November (191) and lowest volume in July (130).&#10;&#10;The second section (recorded five-year comparison) shows the five-year mean for online child sexual abuse crimes is 1,381.2 compared to 1,472 YTD. Up 6.6% on five-year mean. The five-year sparkline shows the highest volume of online child sexual abuse crimes in 2020/21 YTD (1,538) and lowest volume in 2019/20 YTD (1,341).&#10;&#10;The third section (recorded detection rate comparison) shows the detection rate for online child sexual abuse crimes was 68.4% in PYTD compared to 70.2% in YTD. Up 1.8% points on last year. The five-year sparkline shows the highest detection rate in 2023/24 (70.2%) and lowest in 2021/22 (64.2%)." title="Child Sexual Abuse Online Visualis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7"/>
                    <a:stretch>
                      <a:fillRect/>
                    </a:stretch>
                  </pic:blipFill>
                  <pic:spPr>
                    <a:xfrm>
                      <a:off x="0" y="0"/>
                      <a:ext cx="6264000" cy="1800000"/>
                    </a:xfrm>
                    <a:prstGeom prst="rect">
                      <a:avLst/>
                    </a:prstGeom>
                  </pic:spPr>
                </pic:pic>
              </a:graphicData>
            </a:graphic>
          </wp:inline>
        </w:drawing>
      </w:r>
    </w:p>
    <w:p w14:paraId="25EA92FC" w14:textId="77777777" w:rsidR="0012624B" w:rsidRPr="00F75373" w:rsidRDefault="0012624B" w:rsidP="0012624B">
      <w:pPr>
        <w:rPr>
          <w:lang w:eastAsia="en-GB"/>
        </w:rPr>
      </w:pPr>
      <w:r w:rsidRPr="00F75373">
        <w:rPr>
          <w:lang w:eastAsia="en-GB"/>
        </w:rPr>
        <w:t>Online child sexual abuse crimes recorded in Scotland increased during the reporting period against the same period last year and the five-year mean. Overall, the number of online child sexual abuse crimes increased by 5.4% (75 crimes) compared to last year and by 6.6% (91 crimes) against the five-year mean.</w:t>
      </w:r>
    </w:p>
    <w:p w14:paraId="3315A66A" w14:textId="77777777" w:rsidR="0012624B" w:rsidRPr="00F75373" w:rsidRDefault="0012624B" w:rsidP="0012624B">
      <w:pPr>
        <w:rPr>
          <w:lang w:eastAsia="en-GB"/>
        </w:rPr>
      </w:pPr>
      <w:r w:rsidRPr="00F75373">
        <w:rPr>
          <w:lang w:eastAsia="en-GB"/>
        </w:rPr>
        <w:t>The month on month recording level remains highest during March 2023 however July 2023 noted the lowest monthly reporting during the 12-month period.</w:t>
      </w:r>
    </w:p>
    <w:p w14:paraId="19904840" w14:textId="17C2203F" w:rsidR="0012624B" w:rsidRPr="0012624B" w:rsidRDefault="0012624B" w:rsidP="0012624B">
      <w:pPr>
        <w:rPr>
          <w:color w:val="000000" w:themeColor="text1"/>
          <w:lang w:eastAsia="en-GB"/>
        </w:rPr>
      </w:pPr>
      <w:r w:rsidRPr="002129AA">
        <w:rPr>
          <w:color w:val="000000" w:themeColor="text1"/>
          <w:lang w:eastAsia="en-GB"/>
        </w:rPr>
        <w:t>The number of detections increased compared to last year (up 8.2%, 78 detections) and the five-year mean (up 12.1%, 111 detections). Overall, the detection rate increased compared to the previous year, up 1.8 percentage points to 70.2% and increased against the five-year mean, up 3.5 percentage points.</w:t>
      </w:r>
    </w:p>
    <w:p w14:paraId="329ECFAC" w14:textId="58FA584A" w:rsidR="00E314B5" w:rsidRDefault="000908D2" w:rsidP="002554CE">
      <w:pPr>
        <w:pStyle w:val="Heading4"/>
      </w:pPr>
      <w:r w:rsidRPr="000908D2">
        <w:t>Child Sexual Abuse (online) – Crime Types</w:t>
      </w:r>
    </w:p>
    <w:p w14:paraId="456360F4" w14:textId="13F02FBE" w:rsidR="0012624B" w:rsidRPr="00A253BC" w:rsidRDefault="0012624B" w:rsidP="0012624B">
      <w:r w:rsidRPr="00A253BC">
        <w:t>All classifications of online child sexual abuse noted an increase during Quarter 2 compared to last year, with the exception of grooming</w:t>
      </w:r>
      <w:r>
        <w:t>,</w:t>
      </w:r>
      <w:r w:rsidRPr="00A253BC">
        <w:t xml:space="preserve"> and taking, distribution, possession etc. of indecent photos of children (from Apr 2011). </w:t>
      </w:r>
      <w:r w:rsidRPr="00F03E40">
        <w:t xml:space="preserve">Grooming of children for the purposes of </w:t>
      </w:r>
      <w:r w:rsidRPr="00A253BC">
        <w:t>sexual offences decreased 11.9% against the previous year and 25.9% against the five-year mean. Taking, distribution, possession etc. of indecent photos of children (from Apr 2011) decreased 2.3% against the previous year however increased 13.4% against the five-year mean.</w:t>
      </w:r>
    </w:p>
    <w:p w14:paraId="579D3767" w14:textId="621873D5" w:rsidR="0012624B" w:rsidRPr="0012624B" w:rsidRDefault="0012624B" w:rsidP="0012624B">
      <w:r w:rsidRPr="00A253BC">
        <w:t>Cause to be Present Sex Act/Look at Sex Image - M&amp;F (13-15) noted the greatest percentage increase (up 23.8%, 31 crimes) compared to last year.</w:t>
      </w:r>
    </w:p>
    <w:p w14:paraId="28B27A31" w14:textId="02027067" w:rsidR="00127FB2" w:rsidRDefault="00127FB2" w:rsidP="002554CE">
      <w:pPr>
        <w:pStyle w:val="Heading4"/>
      </w:pPr>
      <w:r>
        <w:lastRenderedPageBreak/>
        <w:t>Domestic Abuse</w:t>
      </w:r>
    </w:p>
    <w:p w14:paraId="0BDA6C3F" w14:textId="2D22B980" w:rsidR="00C76CBD" w:rsidRDefault="0033198D" w:rsidP="00C76CBD">
      <w:r>
        <w:rPr>
          <w:noProof/>
          <w:lang w:eastAsia="en-GB"/>
        </w:rPr>
        <w:drawing>
          <wp:inline distT="0" distB="0" distL="0" distR="0" wp14:anchorId="28333942" wp14:editId="7772C6E5">
            <wp:extent cx="6264000" cy="4320000"/>
            <wp:effectExtent l="0" t="0" r="3810" b="4445"/>
            <wp:docPr id="416460808" name="Picture 416460808" descr="This visualisation shows Domestic Abuse Incidents/Crimes and DASA of a female/male at the end of quarter 3 compared to the previous year and last five-years.&#10;&#10;The first section (recorded YTD comparison) shows 45,303 domestic abuse incidents PYTD compared to 46,195 YTD. Up 2.0% on last year. The six month sparkline shows the highest volume of domestic abuse incidents in August (5,332) and lowest volume in October (4,917). There were 27,699 domestic abuse crimes PYTD compared to 26,300 YTD. Down 5.1% on last year. The six month sparkline shows the highest volume of domestic abuse crimes in July (3,097) and lowest volume in December (2,728). There were 1,262 DASA of a female crimes PYTD compared to 1,400 YTD. Up 10.9% on last year. The six month sparkline shows the highest volume of DASA of a female crimes in November (188) and lowest volume in December (142). There were 68 DASA of a male crimes PYTD compared to 105 YTD. Up 54.4% on last year. The six month sparkline shows the highest volume of DASA of a male crimes in August, September &amp; November (16) and lowest volume in July (10).&#10;&#10;The second section (recorded five-year comparison) shows the five-year mean for domestic abuse incidents is 46,599.4 compared to 46,195 YTD. Down 0.9% on five-year mean. The five-year sparkline shows the highest volume of domestic abuse incidents in 2020/21 YTD (48,641) and lowest volume in 2022/23 YTD (45,303). The five-year mean for domestic abuse crimes is 28,811.0 compared to 26,300 YTD. Down 8.7% on five-year mean. The five-year sparkline shows the highest volume of domestic abuse crimes in 2020/21 YTD (30,439) and lowest volume in 2023/24 YTD (26,300) The three year mean for DASA of a female crimes is 1,300.7 compared to 1,400 YTD. Up 7.6% on three year mean. The three year sparkline shows the highest volume of DASA of a female crimes in 2023/24 YTD (1,400) and lowest volume in 2021/22 YTD (1,240). The three year mean for DASA of a male crimes is 85.7 compared to 105 YTD. Up 22.5% on three year mean. The three year sparkline shows the highest volume of DASA of a male crimes in 2023/24 YTD (105) and lowest volume in 2022/23 YTD (68).&#10;&#10;The third section (recorded detection rate/proportion comparison) shows the proportion of domestic abuse incidents resulting in a crime was 43.1% in PYTD compared to 42.3% in YTD. Down 0.8% points on last year. The five-year sparkline shows the highest proportion in 2019/20 (44.4%) and lowest in 2023/24 (42.3%). The detection rate for domestic abuse crimes was 64.4% in PYTD compared to 61.2% in YTD. Down 3.2% points on last year. The five-year sparkline shows the highest detection rate in 2020/21 (70.1%) and lowest in 2023/24 (61.2%). The detection rate for DASA of a female crimes was 72.6% in PYTD compared to 75.0% in YTD. Up 2.4% points on last year. The three year sparkline shows the highest detection rate in 2023/24 (75.0%) and lowest in 2022/23 (72.6%). The detection rate for DASA of a male crimes was 57.4% in PYTD compared to 60.0% in YTD. Up 2.6% points on last year. The three year sparkline shows the highest detection rate in 2021/22 (66.7%) and lowest in 2022/23 (57.4%).&#10;" title="Domestic Abuse Visualis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8"/>
                    <a:stretch>
                      <a:fillRect/>
                    </a:stretch>
                  </pic:blipFill>
                  <pic:spPr>
                    <a:xfrm>
                      <a:off x="0" y="0"/>
                      <a:ext cx="6264000" cy="4320000"/>
                    </a:xfrm>
                    <a:prstGeom prst="rect">
                      <a:avLst/>
                    </a:prstGeom>
                  </pic:spPr>
                </pic:pic>
              </a:graphicData>
            </a:graphic>
          </wp:inline>
        </w:drawing>
      </w:r>
    </w:p>
    <w:p w14:paraId="08FE64FE" w14:textId="27531241" w:rsidR="00910E77" w:rsidRDefault="00910E77" w:rsidP="00445B69">
      <w:pPr>
        <w:rPr>
          <w:color w:val="000000" w:themeColor="text1"/>
        </w:rPr>
      </w:pPr>
      <w:r w:rsidRPr="00BE66CD">
        <w:rPr>
          <w:shd w:val="clear" w:color="auto" w:fill="FFF2CC" w:themeFill="accent4" w:themeFillTint="33"/>
        </w:rPr>
        <w:t>Note:</w:t>
      </w:r>
      <w:r w:rsidR="00701DE0">
        <w:rPr>
          <w:shd w:val="clear" w:color="auto" w:fill="FFF2CC" w:themeFill="accent4" w:themeFillTint="33"/>
        </w:rPr>
        <w:t xml:space="preserve"> DASA </w:t>
      </w:r>
      <w:r>
        <w:rPr>
          <w:shd w:val="clear" w:color="auto" w:fill="FFF2CC" w:themeFill="accent4" w:themeFillTint="33"/>
        </w:rPr>
        <w:t xml:space="preserve">comparisons based on </w:t>
      </w:r>
      <w:r w:rsidR="00701DE0">
        <w:rPr>
          <w:shd w:val="clear" w:color="auto" w:fill="FFF2CC" w:themeFill="accent4" w:themeFillTint="33"/>
        </w:rPr>
        <w:t xml:space="preserve">the </w:t>
      </w:r>
      <w:r>
        <w:rPr>
          <w:shd w:val="clear" w:color="auto" w:fill="FFF2CC" w:themeFill="accent4" w:themeFillTint="33"/>
        </w:rPr>
        <w:t>three-year mean and three-year sparkline.</w:t>
      </w:r>
    </w:p>
    <w:p w14:paraId="309D1D35" w14:textId="6D82CEEF" w:rsidR="00445B69" w:rsidRPr="00213FE4" w:rsidRDefault="00445B69" w:rsidP="00445B69">
      <w:r w:rsidRPr="00A57AF8">
        <w:rPr>
          <w:color w:val="000000" w:themeColor="text1"/>
        </w:rPr>
        <w:t>Domestic crimes are the lowest recorded over the last five years</w:t>
      </w:r>
      <w:r>
        <w:rPr>
          <w:color w:val="000000" w:themeColor="text1"/>
        </w:rPr>
        <w:t xml:space="preserve">, </w:t>
      </w:r>
      <w:r w:rsidRPr="00A57AF8">
        <w:rPr>
          <w:color w:val="000000" w:themeColor="text1"/>
        </w:rPr>
        <w:t>down 5.1% (1,399 crimes)</w:t>
      </w:r>
      <w:r>
        <w:rPr>
          <w:color w:val="000000" w:themeColor="text1"/>
        </w:rPr>
        <w:t xml:space="preserve"> compared to last year</w:t>
      </w:r>
      <w:r w:rsidR="00213FE4">
        <w:rPr>
          <w:color w:val="000000" w:themeColor="text1"/>
        </w:rPr>
        <w:t xml:space="preserve"> and</w:t>
      </w:r>
      <w:r>
        <w:rPr>
          <w:color w:val="000000" w:themeColor="text1"/>
        </w:rPr>
        <w:t xml:space="preserve"> down 8.7% (2,511 crimes) compared to the five</w:t>
      </w:r>
      <w:r w:rsidR="009B4A18">
        <w:rPr>
          <w:color w:val="000000" w:themeColor="text1"/>
        </w:rPr>
        <w:t>-</w:t>
      </w:r>
      <w:r>
        <w:rPr>
          <w:color w:val="000000" w:themeColor="text1"/>
        </w:rPr>
        <w:t>year mean. Domestic incidents noted an increase compared to last year, up 2.0% (892 incidents).</w:t>
      </w:r>
    </w:p>
    <w:p w14:paraId="167637B3" w14:textId="77777777" w:rsidR="00445B69" w:rsidRPr="00A57AF8" w:rsidRDefault="00445B69" w:rsidP="00445B69">
      <w:pPr>
        <w:rPr>
          <w:color w:val="000000" w:themeColor="text1"/>
        </w:rPr>
      </w:pPr>
      <w:r w:rsidRPr="00A57AF8">
        <w:rPr>
          <w:color w:val="000000" w:themeColor="text1"/>
        </w:rPr>
        <w:t>Overall DASA crimes increased by 13.2% (175 crimes) with DASA of a female increasing by 138 crimes and DASA of a male increasing by 37 crimes compared to last year.</w:t>
      </w:r>
    </w:p>
    <w:p w14:paraId="1F38B307" w14:textId="1210F654" w:rsidR="00E314B5" w:rsidRPr="00445B69" w:rsidRDefault="00445B69" w:rsidP="00E314B5">
      <w:pPr>
        <w:rPr>
          <w:rFonts w:cs="Arial"/>
          <w:color w:val="000000" w:themeColor="text1"/>
        </w:rPr>
      </w:pPr>
      <w:r>
        <w:rPr>
          <w:rFonts w:cs="Arial"/>
          <w:color w:val="000000" w:themeColor="text1"/>
        </w:rPr>
        <w:t>Three</w:t>
      </w:r>
      <w:r w:rsidRPr="00B055EC">
        <w:rPr>
          <w:rFonts w:cs="Arial"/>
          <w:color w:val="000000" w:themeColor="text1"/>
        </w:rPr>
        <w:t xml:space="preserve"> domestic </w:t>
      </w:r>
      <w:r>
        <w:rPr>
          <w:rFonts w:cs="Arial"/>
          <w:color w:val="000000" w:themeColor="text1"/>
        </w:rPr>
        <w:t>homicides</w:t>
      </w:r>
      <w:r w:rsidRPr="00B055EC">
        <w:rPr>
          <w:rFonts w:cs="Arial"/>
          <w:color w:val="000000" w:themeColor="text1"/>
        </w:rPr>
        <w:t xml:space="preserve"> have been recorded since April 2023 compared to </w:t>
      </w:r>
      <w:r>
        <w:rPr>
          <w:rFonts w:cs="Arial"/>
          <w:color w:val="000000" w:themeColor="text1"/>
        </w:rPr>
        <w:t>four</w:t>
      </w:r>
      <w:r w:rsidRPr="00B055EC">
        <w:rPr>
          <w:rFonts w:cs="Arial"/>
          <w:color w:val="000000" w:themeColor="text1"/>
        </w:rPr>
        <w:t xml:space="preserve"> during the same period last year.</w:t>
      </w:r>
      <w:r>
        <w:rPr>
          <w:rFonts w:cs="Arial"/>
          <w:color w:val="000000" w:themeColor="text1"/>
        </w:rPr>
        <w:t xml:space="preserve"> One of the domestic homicides recorded was committed in 2022. This was not recorded as a domestic homicide initially and only identified as such </w:t>
      </w:r>
      <w:r w:rsidR="009B4A18">
        <w:rPr>
          <w:rFonts w:cs="Arial"/>
          <w:color w:val="000000" w:themeColor="text1"/>
        </w:rPr>
        <w:t>following</w:t>
      </w:r>
      <w:r>
        <w:rPr>
          <w:rFonts w:cs="Arial"/>
          <w:color w:val="000000" w:themeColor="text1"/>
        </w:rPr>
        <w:t xml:space="preserve"> a full investigation. In Quarter 2 we reported four domestic homicides – one of which has since been reclassified</w:t>
      </w:r>
      <w:r w:rsidR="00C76602">
        <w:rPr>
          <w:rFonts w:cs="Arial"/>
          <w:color w:val="000000" w:themeColor="text1"/>
        </w:rPr>
        <w:t xml:space="preserve"> on our crime system</w:t>
      </w:r>
      <w:r w:rsidR="005D2D9D">
        <w:rPr>
          <w:rFonts w:cs="Arial"/>
          <w:color w:val="000000" w:themeColor="text1"/>
        </w:rPr>
        <w:t xml:space="preserve"> following </w:t>
      </w:r>
      <w:r w:rsidR="00020DA3">
        <w:rPr>
          <w:rFonts w:cs="Arial"/>
          <w:color w:val="000000" w:themeColor="text1"/>
        </w:rPr>
        <w:t>post-mortem</w:t>
      </w:r>
      <w:r>
        <w:rPr>
          <w:rFonts w:cs="Arial"/>
          <w:color w:val="000000" w:themeColor="text1"/>
        </w:rPr>
        <w:t>.</w:t>
      </w:r>
    </w:p>
    <w:p w14:paraId="69D03340" w14:textId="7003BDF5" w:rsidR="00D25688" w:rsidRDefault="00D25688" w:rsidP="002554CE">
      <w:pPr>
        <w:pStyle w:val="Heading4"/>
      </w:pPr>
      <w:r w:rsidRPr="00D25688">
        <w:t>Disclosure Scheme for Domestic Abuse Scotland (DSDAS)</w:t>
      </w:r>
    </w:p>
    <w:p w14:paraId="6606FEAF" w14:textId="43B2BEF7" w:rsidR="00E314B5" w:rsidRPr="006720AA" w:rsidRDefault="00445B69" w:rsidP="00E314B5">
      <w:r w:rsidRPr="000B574B">
        <w:rPr>
          <w:rFonts w:cs="Arial"/>
          <w:color w:val="000000" w:themeColor="text1"/>
        </w:rPr>
        <w:t>During the reporting period DSDAS applications have increased by 23.5% overall with a 26.1% increase in Power to Tell (PTT) applications and a 17.6% increase in Right to Ask (RTA) applications compared to the same period last year.</w:t>
      </w:r>
    </w:p>
    <w:p w14:paraId="38A1DF49" w14:textId="77777777" w:rsidR="00085253" w:rsidRDefault="005C763C" w:rsidP="002554CE">
      <w:pPr>
        <w:pStyle w:val="Heading4"/>
      </w:pPr>
      <w:bookmarkStart w:id="37" w:name="Drugs"/>
      <w:bookmarkStart w:id="38" w:name="_Hlk140669384"/>
      <w:bookmarkEnd w:id="37"/>
      <w:r>
        <w:lastRenderedPageBreak/>
        <w:t>Drugs Harm/Supply</w:t>
      </w:r>
      <w:bookmarkStart w:id="39" w:name="SOCG"/>
      <w:bookmarkEnd w:id="39"/>
    </w:p>
    <w:p w14:paraId="1E871403" w14:textId="587BDF7F" w:rsidR="001115F0" w:rsidRPr="001115F0" w:rsidRDefault="001115F0" w:rsidP="002554CE">
      <w:pPr>
        <w:pStyle w:val="Heading4"/>
      </w:pPr>
      <w:r w:rsidRPr="001115F0">
        <w:t>Naloxone</w:t>
      </w:r>
      <w:r w:rsidR="00D57EAB">
        <w:t xml:space="preserve"> Administrations</w:t>
      </w:r>
    </w:p>
    <w:p w14:paraId="4B8C3CEE" w14:textId="18BD2B0C" w:rsidR="00575901" w:rsidRDefault="00575901" w:rsidP="00575901">
      <w:pPr>
        <w:rPr>
          <w:rFonts w:cs="Arial"/>
        </w:rPr>
      </w:pPr>
      <w:r>
        <w:rPr>
          <w:rFonts w:cs="Arial"/>
        </w:rPr>
        <w:t>The national rollout of Naloxone to all operational officers, up to and including the rank of Inspector, concluded on 31 August 2023. The project remains fully funded by the Scottish Government as part of their commitment</w:t>
      </w:r>
      <w:r w:rsidR="006720AA">
        <w:rPr>
          <w:rFonts w:cs="Arial"/>
        </w:rPr>
        <w:t xml:space="preserve"> to reduce Drug Related Deaths.</w:t>
      </w:r>
    </w:p>
    <w:p w14:paraId="5E0A55D8" w14:textId="27BF3A29" w:rsidR="00575901" w:rsidRDefault="00575901" w:rsidP="00575901">
      <w:r>
        <w:rPr>
          <w:rFonts w:cs="Arial"/>
        </w:rPr>
        <w:t xml:space="preserve">Administrations of Naloxone have continued to significantly rise, with the total figure at this stage being 416. There have been </w:t>
      </w:r>
      <w:r>
        <w:t>408 persons sufficiently recovered to either receive further medical attention by medical professionals or to leave the scene of their own volition. Eight people, who showed potential signs of overdose and were administered Naloxone in an effort to protect life, unfortunately died.</w:t>
      </w:r>
    </w:p>
    <w:tbl>
      <w:tblPr>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CE7215" w:rsidRPr="00CE7215" w14:paraId="1EC3F03E" w14:textId="77777777" w:rsidTr="00001D01">
        <w:trPr>
          <w:trHeight w:val="680"/>
        </w:trPr>
        <w:tc>
          <w:tcPr>
            <w:tcW w:w="9862" w:type="dxa"/>
            <w:shd w:val="clear" w:color="auto" w:fill="FFE599" w:themeFill="accent4" w:themeFillTint="66"/>
            <w:vAlign w:val="center"/>
            <w:hideMark/>
          </w:tcPr>
          <w:p w14:paraId="715D2E3E" w14:textId="61AF11FC" w:rsidR="00CE7215" w:rsidRPr="00CE7215" w:rsidRDefault="00CE7215" w:rsidP="00CE7215">
            <w:pPr>
              <w:pStyle w:val="TableHeaderLeft"/>
            </w:pPr>
            <w:r w:rsidRPr="00CE7215">
              <w:t>Proactive/Preventative Policing - National County Lines Intensification Week</w:t>
            </w:r>
          </w:p>
        </w:tc>
      </w:tr>
      <w:tr w:rsidR="00CE7215" w:rsidRPr="00CE7215" w14:paraId="1A8850D7" w14:textId="77777777" w:rsidTr="005C7704">
        <w:trPr>
          <w:trHeight w:val="680"/>
        </w:trPr>
        <w:tc>
          <w:tcPr>
            <w:tcW w:w="9862" w:type="dxa"/>
            <w:shd w:val="clear" w:color="auto" w:fill="FFF2CC" w:themeFill="accent4" w:themeFillTint="33"/>
            <w:vAlign w:val="center"/>
            <w:hideMark/>
          </w:tcPr>
          <w:p w14:paraId="1C9B379E" w14:textId="77777777" w:rsidR="00CE7215" w:rsidRPr="00424E9E" w:rsidRDefault="00CE7215" w:rsidP="00CE7215">
            <w:pPr>
              <w:rPr>
                <w:rFonts w:cs="Arial"/>
              </w:rPr>
            </w:pPr>
            <w:r w:rsidRPr="00424E9E">
              <w:rPr>
                <w:rFonts w:cs="Arial"/>
              </w:rPr>
              <w:t>The national County Lines Intensification Week took place between 09 and 16 October. Over the course of the week 17 vulnerable persons were safeguarded and a total of 373 cuckooed addresses visited. A missing juvenile from the West Midlands was also traced and repatriated.</w:t>
            </w:r>
          </w:p>
          <w:p w14:paraId="5DE44DC4" w14:textId="65807518" w:rsidR="00CE7215" w:rsidRPr="00CE7215" w:rsidRDefault="00CE7215" w:rsidP="00CE7215">
            <w:pPr>
              <w:pStyle w:val="TableBodyLeft"/>
            </w:pPr>
            <w:r w:rsidRPr="00424E9E">
              <w:rPr>
                <w:rFonts w:cs="Arial"/>
              </w:rPr>
              <w:t>Additional results achieved during the intensification week are outlined below, highlighting the proactivity of our officers and partner agencies in keeping people safe:</w:t>
            </w:r>
          </w:p>
        </w:tc>
      </w:tr>
    </w:tbl>
    <w:p w14:paraId="58A07203" w14:textId="7E6571A7" w:rsidR="00E14715" w:rsidRDefault="00E14715" w:rsidP="00BD1D78">
      <w:r>
        <w:rPr>
          <w:noProof/>
          <w:lang w:eastAsia="en-GB"/>
        </w:rPr>
        <w:drawing>
          <wp:inline distT="0" distB="0" distL="0" distR="0" wp14:anchorId="1E42C611" wp14:editId="11642786">
            <wp:extent cx="5400000" cy="2160000"/>
            <wp:effectExtent l="0" t="0" r="0" b="0"/>
            <wp:docPr id="12" name="Picture 12" descr="This visualisation shows results achieved during the intensification week to highlight proactivity work:&#10;18 drug and evidential search warrants carried out;&#10;25 persons arrested for possession of a firearm and ammunition, drug supply and bail offences;&#10;2 apprehension warrants arrests;&#10;Drugs seized with significant estimated street value: £252,830 worth of cocaine, £32,600 worth of heroin and £29,630 worth of crack cocaine;&#10;170 grams of cannabis and nine zoplicone tablets seized;&#10;And £226,012 in cash seized." title="National County Lines Intensification Week Visualis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00" cy="2160000"/>
                    </a:xfrm>
                    <a:prstGeom prst="rect">
                      <a:avLst/>
                    </a:prstGeom>
                    <a:noFill/>
                  </pic:spPr>
                </pic:pic>
              </a:graphicData>
            </a:graphic>
          </wp:inline>
        </w:drawing>
      </w:r>
    </w:p>
    <w:p w14:paraId="5561053C" w14:textId="0D9EB94E" w:rsidR="00F85C41" w:rsidRDefault="00982512" w:rsidP="002554CE">
      <w:pPr>
        <w:pStyle w:val="Heading4"/>
      </w:pPr>
      <w:r w:rsidRPr="00982512">
        <w:t>Serious Organised Crime Groups (SOCGs)</w:t>
      </w:r>
    </w:p>
    <w:bookmarkEnd w:id="38"/>
    <w:p w14:paraId="4117ADD7" w14:textId="78115325" w:rsidR="00203917" w:rsidRPr="006720AA" w:rsidRDefault="00203917" w:rsidP="0092578F">
      <w:r>
        <w:t xml:space="preserve">Serious Organised Crime Group Mapping (SOCGM) is a tool used by law enforcement in Scotland to map the characteristics of the individuals and groups that are known through intelligence and operational activity. </w:t>
      </w:r>
      <w:r w:rsidRPr="008A12B9">
        <w:t xml:space="preserve">To date there have been </w:t>
      </w:r>
      <w:r w:rsidR="00E93E3B" w:rsidRPr="008A12B9">
        <w:t xml:space="preserve">33 (31%) </w:t>
      </w:r>
      <w:r w:rsidRPr="008A12B9">
        <w:t xml:space="preserve">mapped </w:t>
      </w:r>
      <w:r w:rsidR="00E93E3B" w:rsidRPr="008A12B9">
        <w:t>operat</w:t>
      </w:r>
      <w:r w:rsidR="00AF2BD6">
        <w:t>i</w:t>
      </w:r>
      <w:r w:rsidR="00E93E3B" w:rsidRPr="008A12B9">
        <w:t xml:space="preserve">ons </w:t>
      </w:r>
      <w:r w:rsidRPr="008A12B9">
        <w:t>seeing a reduction in their score,</w:t>
      </w:r>
      <w:r w:rsidR="00E93E3B" w:rsidRPr="008A12B9">
        <w:t xml:space="preserve"> 22 with an increase in risk score</w:t>
      </w:r>
      <w:r w:rsidRPr="008A12B9">
        <w:t xml:space="preserve"> as well as </w:t>
      </w:r>
      <w:r w:rsidR="00E93E3B" w:rsidRPr="008A12B9">
        <w:t>32 having no change in risk score.</w:t>
      </w:r>
      <w:r w:rsidRPr="008A12B9">
        <w:t xml:space="preserve"> </w:t>
      </w:r>
      <w:r w:rsidR="00E93E3B" w:rsidRPr="008A12B9">
        <w:t xml:space="preserve">During this time, </w:t>
      </w:r>
      <w:r w:rsidR="006720AA">
        <w:t>eight</w:t>
      </w:r>
      <w:r w:rsidR="00E93E3B" w:rsidRPr="008A12B9">
        <w:t xml:space="preserve"> (8%) mapped operations were archived at the SOCG Management Board (SOCGMB) as a result of successful operational activity.</w:t>
      </w:r>
    </w:p>
    <w:p w14:paraId="60ACFEBD" w14:textId="52F2199E" w:rsidR="007B4E59" w:rsidRPr="007B4E59" w:rsidRDefault="007B4E59" w:rsidP="0092578F">
      <w:pPr>
        <w:rPr>
          <w:b/>
          <w:bCs/>
          <w:color w:val="000000" w:themeColor="text1"/>
        </w:rPr>
      </w:pPr>
      <w:r w:rsidRPr="007B4E59">
        <w:rPr>
          <w:b/>
          <w:bCs/>
          <w:color w:val="000000" w:themeColor="text1"/>
        </w:rPr>
        <w:t>Operation STARSHINE</w:t>
      </w:r>
    </w:p>
    <w:p w14:paraId="3502FCB2" w14:textId="64CAD4BB" w:rsidR="00203917" w:rsidRDefault="009270C2" w:rsidP="0092578F">
      <w:r>
        <w:lastRenderedPageBreak/>
        <w:t>As a result of proactive policing</w:t>
      </w:r>
      <w:r w:rsidR="007B4E59">
        <w:t xml:space="preserve"> an address in Cambuslang </w:t>
      </w:r>
      <w:r>
        <w:t xml:space="preserve">was the subject of a search </w:t>
      </w:r>
      <w:r w:rsidR="006720AA">
        <w:t>warrant at the end of the last q</w:t>
      </w:r>
      <w:r>
        <w:t>uarter</w:t>
      </w:r>
      <w:r w:rsidR="007B4E59">
        <w:t>, resulting in two firearms and ammunition being seized, as well as a hydraulic press. One male was arrested as part of the investigation. Following this, in October 2023, further executive action was taken at an address in Glasgow where 13 firearms and additional ammunition was recovered, with a further male arrested.</w:t>
      </w:r>
    </w:p>
    <w:p w14:paraId="04A1F271" w14:textId="27EBE755" w:rsidR="007B4E59" w:rsidRPr="007B4E59" w:rsidRDefault="007B4E59" w:rsidP="0092578F">
      <w:pPr>
        <w:rPr>
          <w:b/>
          <w:bCs/>
        </w:rPr>
      </w:pPr>
      <w:r w:rsidRPr="007B4E59">
        <w:rPr>
          <w:b/>
          <w:bCs/>
        </w:rPr>
        <w:t>Operation SILHOUETTE</w:t>
      </w:r>
    </w:p>
    <w:p w14:paraId="5C1C2392" w14:textId="784E2B6F" w:rsidR="007B4E59" w:rsidRPr="00203917" w:rsidRDefault="007B4E59" w:rsidP="0092578F">
      <w:r>
        <w:t xml:space="preserve">During October 2023 </w:t>
      </w:r>
      <w:r w:rsidR="009270C2">
        <w:t xml:space="preserve">proactive policing identified and led to </w:t>
      </w:r>
      <w:r>
        <w:t xml:space="preserve">executive action </w:t>
      </w:r>
      <w:r w:rsidR="009270C2">
        <w:t>being</w:t>
      </w:r>
      <w:r>
        <w:t xml:space="preserve"> taken on two vehicles and their occupants in the Glasgow area. Officers recovered 42.6 kilograms of cocaine, worth an estimated £1.8 million. Two males were arrested as part of this operation.</w:t>
      </w:r>
    </w:p>
    <w:p w14:paraId="35B2CEB8" w14:textId="29C6F73B" w:rsidR="00EE1D1A" w:rsidRPr="00EE1D1A" w:rsidRDefault="00AE526E" w:rsidP="002554CE">
      <w:pPr>
        <w:pStyle w:val="Heading4"/>
      </w:pPr>
      <w:r>
        <w:t>Proceeds of Crime</w:t>
      </w:r>
    </w:p>
    <w:tbl>
      <w:tblPr>
        <w:tblStyle w:val="TableGrid5"/>
        <w:tblW w:w="98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Mechanism"/>
        <w:tblDescription w:val="The Mechanism table is broken down into two columns. The first column lists the three Mechanism measures and the second column details the total amount recovered under each mechanism."/>
      </w:tblPr>
      <w:tblGrid>
        <w:gridCol w:w="7597"/>
        <w:gridCol w:w="2268"/>
      </w:tblGrid>
      <w:tr w:rsidR="00E14715" w:rsidRPr="004F1401" w14:paraId="64498BDD" w14:textId="77777777" w:rsidTr="00E76ECA">
        <w:trPr>
          <w:tblHeader/>
        </w:trPr>
        <w:tc>
          <w:tcPr>
            <w:tcW w:w="7597" w:type="dxa"/>
            <w:shd w:val="clear" w:color="auto" w:fill="23ACCF"/>
            <w:vAlign w:val="center"/>
          </w:tcPr>
          <w:p w14:paraId="701D964E" w14:textId="77777777" w:rsidR="00EE1D1A" w:rsidRPr="004F1401" w:rsidRDefault="00EE1D1A" w:rsidP="00605C1D">
            <w:pPr>
              <w:pStyle w:val="TableHeaderLeft"/>
            </w:pPr>
            <w:r w:rsidRPr="0082659C">
              <w:t>Mechanism</w:t>
            </w:r>
          </w:p>
        </w:tc>
        <w:tc>
          <w:tcPr>
            <w:tcW w:w="2268" w:type="dxa"/>
            <w:shd w:val="clear" w:color="auto" w:fill="23ACCF"/>
            <w:vAlign w:val="center"/>
          </w:tcPr>
          <w:p w14:paraId="3A1C21CD" w14:textId="77777777" w:rsidR="00EE1D1A" w:rsidRPr="0082659C" w:rsidRDefault="00EE1D1A" w:rsidP="00605C1D">
            <w:pPr>
              <w:pStyle w:val="TableHeaderCentre"/>
              <w:rPr>
                <w:color w:val="auto"/>
              </w:rPr>
            </w:pPr>
            <w:r w:rsidRPr="0082659C">
              <w:rPr>
                <w:color w:val="auto"/>
              </w:rPr>
              <w:t>Amount</w:t>
            </w:r>
          </w:p>
        </w:tc>
      </w:tr>
      <w:tr w:rsidR="00E14715" w:rsidRPr="004F1401" w14:paraId="0ACD1EEA" w14:textId="77777777" w:rsidTr="00E76ECA">
        <w:trPr>
          <w:cantSplit/>
          <w:trHeight w:val="680"/>
        </w:trPr>
        <w:tc>
          <w:tcPr>
            <w:tcW w:w="7597" w:type="dxa"/>
            <w:shd w:val="clear" w:color="000000" w:fill="FFFFFF"/>
            <w:vAlign w:val="center"/>
          </w:tcPr>
          <w:p w14:paraId="748787AE" w14:textId="77777777" w:rsidR="00EE1D1A" w:rsidRPr="004F1401" w:rsidRDefault="00EE1D1A" w:rsidP="00605C1D">
            <w:pPr>
              <w:pStyle w:val="TableBodyLeft"/>
            </w:pPr>
            <w:r>
              <w:t>Proceeds of Crime Act (POCA) – Year to date figures for POCA represent those provided to COPFS and CRU for consideration and forfeiture</w:t>
            </w:r>
          </w:p>
        </w:tc>
        <w:tc>
          <w:tcPr>
            <w:tcW w:w="2268" w:type="dxa"/>
            <w:shd w:val="clear" w:color="auto" w:fill="auto"/>
            <w:vAlign w:val="center"/>
          </w:tcPr>
          <w:p w14:paraId="0E6D1BB8" w14:textId="77777777" w:rsidR="00EE1D1A" w:rsidRPr="004F1401" w:rsidRDefault="00EE1D1A" w:rsidP="00605C1D">
            <w:pPr>
              <w:pStyle w:val="TableBodyCentre"/>
            </w:pPr>
            <w:r>
              <w:t>£19,428,880</w:t>
            </w:r>
          </w:p>
        </w:tc>
      </w:tr>
      <w:tr w:rsidR="00E14715" w:rsidRPr="004F1401" w14:paraId="5594D03B" w14:textId="77777777" w:rsidTr="00E76ECA">
        <w:trPr>
          <w:cantSplit/>
          <w:trHeight w:val="680"/>
        </w:trPr>
        <w:tc>
          <w:tcPr>
            <w:tcW w:w="7597" w:type="dxa"/>
            <w:shd w:val="clear" w:color="000000" w:fill="FFFFFF"/>
            <w:vAlign w:val="center"/>
          </w:tcPr>
          <w:p w14:paraId="7A27ABE7" w14:textId="77777777" w:rsidR="00EE1D1A" w:rsidRDefault="00EE1D1A" w:rsidP="00605C1D">
            <w:pPr>
              <w:pStyle w:val="TableBodyLeft"/>
            </w:pPr>
            <w:r>
              <w:t>Confiscations Orders</w:t>
            </w:r>
          </w:p>
        </w:tc>
        <w:tc>
          <w:tcPr>
            <w:tcW w:w="2268" w:type="dxa"/>
            <w:shd w:val="clear" w:color="auto" w:fill="auto"/>
            <w:vAlign w:val="center"/>
          </w:tcPr>
          <w:p w14:paraId="5EFAC643" w14:textId="79014F72" w:rsidR="00EE1D1A" w:rsidRDefault="00AC1FB9" w:rsidP="00605C1D">
            <w:pPr>
              <w:pStyle w:val="TableBodyCentre"/>
            </w:pPr>
            <w:r w:rsidRPr="00AC1FB9">
              <w:t>£2,787,364</w:t>
            </w:r>
          </w:p>
        </w:tc>
      </w:tr>
      <w:tr w:rsidR="00E14715" w:rsidRPr="004F1401" w14:paraId="5473213A" w14:textId="77777777" w:rsidTr="00E76ECA">
        <w:trPr>
          <w:cantSplit/>
          <w:trHeight w:val="680"/>
        </w:trPr>
        <w:tc>
          <w:tcPr>
            <w:tcW w:w="7597" w:type="dxa"/>
            <w:shd w:val="clear" w:color="000000" w:fill="FFFFFF"/>
            <w:vAlign w:val="center"/>
          </w:tcPr>
          <w:p w14:paraId="490543BF" w14:textId="77777777" w:rsidR="00EE1D1A" w:rsidRPr="004F1401" w:rsidRDefault="00EE1D1A" w:rsidP="00605C1D">
            <w:pPr>
              <w:pStyle w:val="TableBodyLeft"/>
            </w:pPr>
            <w:r>
              <w:t>Civil Recoveries Unit</w:t>
            </w:r>
          </w:p>
        </w:tc>
        <w:tc>
          <w:tcPr>
            <w:tcW w:w="2268" w:type="dxa"/>
            <w:shd w:val="clear" w:color="auto" w:fill="auto"/>
            <w:vAlign w:val="center"/>
          </w:tcPr>
          <w:p w14:paraId="6A04C7D5" w14:textId="135B2C9B" w:rsidR="00EE1D1A" w:rsidRPr="004F1401" w:rsidRDefault="00AC1FB9" w:rsidP="00605C1D">
            <w:pPr>
              <w:pStyle w:val="TableBodyCentre"/>
            </w:pPr>
            <w:r>
              <w:t>£</w:t>
            </w:r>
            <w:r w:rsidRPr="00AC1FB9">
              <w:t>2,312,933</w:t>
            </w:r>
          </w:p>
        </w:tc>
      </w:tr>
    </w:tbl>
    <w:p w14:paraId="30BC2C85" w14:textId="77777777" w:rsidR="00F12FE6" w:rsidRDefault="00F12FE6" w:rsidP="002554CE">
      <w:pPr>
        <w:pStyle w:val="Heading4"/>
      </w:pPr>
      <w:r w:rsidRPr="00F12FE6">
        <w:t>Disruption Activity</w:t>
      </w:r>
    </w:p>
    <w:p w14:paraId="4371C55C" w14:textId="60E5C8C2" w:rsidR="0092578F" w:rsidRPr="0008641C" w:rsidRDefault="005C7704" w:rsidP="005C7704">
      <w:pPr>
        <w:pStyle w:val="Heading4"/>
        <w:rPr>
          <w:rStyle w:val="Strong"/>
        </w:rPr>
      </w:pPr>
      <w:r>
        <w:t>October 2023</w:t>
      </w:r>
      <w:bookmarkStart w:id="40" w:name="_Hlk140134264"/>
      <w:bookmarkStart w:id="41" w:name="_Hlk140134459"/>
    </w:p>
    <w:p w14:paraId="5ED64541" w14:textId="1372B466" w:rsidR="0075088F" w:rsidRDefault="0075088F" w:rsidP="00797A7A">
      <w:pPr>
        <w:pStyle w:val="Bullets"/>
      </w:pPr>
      <w:r>
        <w:t>Three men were sentenced in relation to drugs offences committed in Aberdeen and Glasgow. One of the males also ple</w:t>
      </w:r>
      <w:r w:rsidR="006720AA">
        <w:t xml:space="preserve">d guilty to Firearms offences. </w:t>
      </w:r>
      <w:r>
        <w:t>This related to recovery of cocaine with a street value of over £300,000 and heroin worth around £21,000 from properties in Aberdeen and Glasgow. A sawn</w:t>
      </w:r>
      <w:r w:rsidR="00C02DF2">
        <w:t>-</w:t>
      </w:r>
      <w:r>
        <w:t>off shotgun was recovered from the Glasgow property. The three males were sentenced to over 17 year’s imprisonment.</w:t>
      </w:r>
    </w:p>
    <w:p w14:paraId="6D038971" w14:textId="784BBAA4" w:rsidR="0075088F" w:rsidRDefault="0075088F" w:rsidP="00797A7A">
      <w:pPr>
        <w:pStyle w:val="Bullets"/>
      </w:pPr>
      <w:r>
        <w:t>Tw</w:t>
      </w:r>
      <w:r w:rsidR="006720AA">
        <w:t>o males were sentenced to over eight</w:t>
      </w:r>
      <w:r>
        <w:t xml:space="preserve"> years at the High Court in Glasgow as a result of the recovery of a quantity of cannabis with an estimated street value of £940,000 and a five-figure sum of cash following the search of a premises in Aberdeen.</w:t>
      </w:r>
    </w:p>
    <w:p w14:paraId="03BFFB3C" w14:textId="1ECF2D44" w:rsidR="0092578F" w:rsidRPr="0008641C" w:rsidRDefault="005C7704" w:rsidP="005C7704">
      <w:pPr>
        <w:pStyle w:val="Heading4"/>
        <w:rPr>
          <w:rStyle w:val="Strong"/>
        </w:rPr>
      </w:pPr>
      <w:r>
        <w:rPr>
          <w:lang w:eastAsia="en-GB"/>
        </w:rPr>
        <w:t>November 2023</w:t>
      </w:r>
    </w:p>
    <w:p w14:paraId="5ACB6BCF" w14:textId="48F3D75D" w:rsidR="0075088F" w:rsidRPr="005C7704" w:rsidRDefault="0075088F" w:rsidP="005C7704">
      <w:pPr>
        <w:pStyle w:val="Bullets"/>
      </w:pPr>
      <w:r w:rsidRPr="005C7704">
        <w:t>Police officers in the Scottish Borders recovered cannabis plants with an estimated street value of around £1.2 million following a drugs search warrant executed at a disused premises in Selkirk.</w:t>
      </w:r>
    </w:p>
    <w:p w14:paraId="5EE6C839" w14:textId="018B9046" w:rsidR="0075088F" w:rsidRDefault="0075088F" w:rsidP="005C7704">
      <w:pPr>
        <w:pStyle w:val="Bullets"/>
        <w:spacing w:after="120"/>
      </w:pPr>
      <w:r w:rsidRPr="005C7704">
        <w:lastRenderedPageBreak/>
        <w:t>Cocaine with an estimated potential value of £1</w:t>
      </w:r>
      <w:r w:rsidR="003B1973" w:rsidRPr="005C7704">
        <w:t xml:space="preserve"> </w:t>
      </w:r>
      <w:r w:rsidRPr="005C7704">
        <w:t>million was recovered after a search of a property in Aberdeen. A 31-year-old man was arrested in connection with the recovery.</w:t>
      </w:r>
    </w:p>
    <w:p w14:paraId="4CA39DFB" w14:textId="2A01B116" w:rsidR="0092578F" w:rsidRPr="005C7704" w:rsidRDefault="005C7704" w:rsidP="005C7704">
      <w:pPr>
        <w:pStyle w:val="Heading4"/>
        <w:rPr>
          <w:rStyle w:val="Strong"/>
          <w:color w:val="auto"/>
        </w:rPr>
      </w:pPr>
      <w:r w:rsidRPr="005C7704">
        <w:rPr>
          <w:color w:val="auto"/>
          <w:lang w:eastAsia="en-GB"/>
        </w:rPr>
        <w:t>December 2023</w:t>
      </w:r>
    </w:p>
    <w:p w14:paraId="335BE0B0" w14:textId="74B9D619" w:rsidR="00AF3EDB" w:rsidRDefault="006720AA" w:rsidP="00797A7A">
      <w:pPr>
        <w:pStyle w:val="Bullets"/>
      </w:pPr>
      <w:r>
        <w:t>H</w:t>
      </w:r>
      <w:r w:rsidR="00AF3EDB">
        <w:t>eroin and cocaine</w:t>
      </w:r>
      <w:r>
        <w:t>,</w:t>
      </w:r>
      <w:r w:rsidR="00AF3EDB">
        <w:t xml:space="preserve"> valued in excess of £1</w:t>
      </w:r>
      <w:r w:rsidR="003B1973">
        <w:t xml:space="preserve"> </w:t>
      </w:r>
      <w:r w:rsidR="00AF3EDB">
        <w:t>million</w:t>
      </w:r>
      <w:r>
        <w:t>,</w:t>
      </w:r>
      <w:r w:rsidR="00AF3EDB">
        <w:t xml:space="preserve"> </w:t>
      </w:r>
      <w:r>
        <w:t>was recovered f</w:t>
      </w:r>
      <w:r w:rsidR="00AF3EDB">
        <w:t>rom a property in Clydebank in July 2023. Following investigation a 37-year-old man and a 31-year-old woman have now been arrested and charged.</w:t>
      </w:r>
    </w:p>
    <w:p w14:paraId="77292FBD" w14:textId="783A05FF" w:rsidR="0089726C" w:rsidRDefault="00757FFC" w:rsidP="00797A7A">
      <w:pPr>
        <w:pStyle w:val="Bullets"/>
      </w:pPr>
      <w:bookmarkStart w:id="42" w:name="_Hlk141098008"/>
      <w:bookmarkEnd w:id="40"/>
      <w:bookmarkEnd w:id="41"/>
      <w:r>
        <w:t>Officers stopped a car on the M74 northbound, near to Lesmahagow</w:t>
      </w:r>
      <w:r w:rsidR="008A4897">
        <w:t>,</w:t>
      </w:r>
      <w:r>
        <w:t xml:space="preserve"> and recovered a quantity of cocaine, with an estimated street value of £195,000. Two men aged 35 and 39 years were arrested and charged in connection with the recovery.</w:t>
      </w:r>
    </w:p>
    <w:p w14:paraId="48A6472E" w14:textId="3F588AE9" w:rsidR="005B6EF0" w:rsidRDefault="0089726C" w:rsidP="002554CE">
      <w:pPr>
        <w:pStyle w:val="Heading4"/>
      </w:pPr>
      <w:r>
        <w:t>Missing Persons</w:t>
      </w:r>
      <w:bookmarkEnd w:id="42"/>
    </w:p>
    <w:p w14:paraId="4F91ADCD" w14:textId="25319712" w:rsidR="00B00BF1" w:rsidRDefault="00D43BAA" w:rsidP="004F6BBA">
      <w:r>
        <w:rPr>
          <w:noProof/>
          <w:lang w:eastAsia="en-GB"/>
        </w:rPr>
        <w:drawing>
          <wp:inline distT="0" distB="0" distL="0" distR="0" wp14:anchorId="7A7D559E" wp14:editId="2A5835AD">
            <wp:extent cx="6264000" cy="3780000"/>
            <wp:effectExtent l="0" t="0" r="3810" b="0"/>
            <wp:docPr id="416460809" name="Picture 416460809" descr="This visualisation shows missing persons investigations at the end of quarter 3 compared to the previous year.&#10;&#10;The first section (recorded YTD comparison) shows 13,419 missing persons investigations PYTD compared to 12,700 YTD. Down 5.4% on last year. The six month sparkline shows the highest volume of missing persons investigations in August (1,461) and lowest volume in December (1,117). There were 3,122 missing previously in PYTD compared to 2,639 YTD. Down 15.5% on last year. The six month sparkline shows the highest volume missing previously in August (595) and lowest volume in December (429). There were 1,359 missing from NHS in PYTD compared to 1,080 YTD. Down 20.5% on last year. The six month sparkline shows the highest volume missing from NHS in July (145) and lowest volume in October (91). There were 2,327 missing from Young Persons Unit (YPU) in PYTD compared to 2,454 YTD. Up 5.5% on last year. The six month sparkline shows the highest volume missing from YPU in July (328) and lowest volume in December (170). There were 349 missing from Foster Care in PYTD compared to 331 YTD. Down 5.2% on last year. The six month sparkline shows the highest volume missing from Foster Care in September (41) and lowest volume in November (20). There were 4,217 investigations which had a mental health marker in PYTD compared to 3,974 YTD. Down 5.8% on last year. The six month sparkline shows the highest volume with a mental health marker in July (481) and lowest volume in December (366).&#10;&#10;The second section (proportion YTD comparison) shows the proportion missing previously was 39.4% PYTD compared to 36.2% YTD. Down 3.1% points on last year. The proportion missing from NHS was 10.1% PYTD compared to 8.5% YTD. Down 1.6% points on last year. The proportion missing from YPU was 17.3% PYTD compared to 19.3% YTD. Up 2.0% points on last year. The proportion missing from YPU was 17.3% PYTD compared to 19.3% YTD. Up 2.0% points on last year. The proportion with a mental health marker was 31.4% PYTD compared to 31.3% YTD. Down 0.1% points on last year. Six month sparklines are not provided for these measures. " title="Missing Persons Visualis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30"/>
                    <a:stretch>
                      <a:fillRect/>
                    </a:stretch>
                  </pic:blipFill>
                  <pic:spPr>
                    <a:xfrm>
                      <a:off x="0" y="0"/>
                      <a:ext cx="6264000" cy="3780000"/>
                    </a:xfrm>
                    <a:prstGeom prst="rect">
                      <a:avLst/>
                    </a:prstGeom>
                  </pic:spPr>
                </pic:pic>
              </a:graphicData>
            </a:graphic>
          </wp:inline>
        </w:drawing>
      </w:r>
    </w:p>
    <w:p w14:paraId="7C7B2186" w14:textId="6E630A8B" w:rsidR="00756738" w:rsidRPr="009D13D3" w:rsidRDefault="00E26BC7" w:rsidP="00696D7C">
      <w:r w:rsidRPr="00E26BC7">
        <w:t>The number of missing person investigations has significantly decreased by 719 compared to the same period last year. The number of repeat missing persons, the average length of time missing and the number of investigations with a mental health (MH) marker have all decreased compared to the same period last year. This Quarter recorded the lowest number of missing persons in the last two years with overall figures gradually decrea</w:t>
      </w:r>
      <w:r w:rsidR="002222EA">
        <w:t xml:space="preserve">sing over the last </w:t>
      </w:r>
      <w:r w:rsidR="00756738">
        <w:t>eight months</w:t>
      </w:r>
      <w:r w:rsidR="00112709">
        <w:t>.</w:t>
      </w:r>
    </w:p>
    <w:p w14:paraId="27AE70BD" w14:textId="77777777" w:rsidR="00696D7C" w:rsidRDefault="00E26BC7" w:rsidP="00696D7C">
      <w:r>
        <w:t>Children and young people make up 62% of all missing persons, the number of care experienced children being repor</w:t>
      </w:r>
      <w:r w:rsidR="002222EA">
        <w:t>ted missing has increased by 2.8</w:t>
      </w:r>
      <w:r w:rsidR="00B00BF1">
        <w:t xml:space="preserve">%. </w:t>
      </w:r>
      <w:r w:rsidR="00144BCC">
        <w:t xml:space="preserve">Figures are taken </w:t>
      </w:r>
      <w:r w:rsidR="00144BCC">
        <w:lastRenderedPageBreak/>
        <w:t>from the National Missing Persons Application which is a live system with figures changing daily as people are reported missing or traced.</w:t>
      </w:r>
    </w:p>
    <w:p w14:paraId="5247D3BD" w14:textId="77777777" w:rsidR="00696D7C" w:rsidRDefault="00144BCC" w:rsidP="00696D7C">
      <w:r>
        <w:t>Anecdotal evidence from our territorial divisions finds that in the last year, those children and young people who have been reported as missing have been reported missing more often and are younger</w:t>
      </w:r>
      <w:r w:rsidR="00696D7C">
        <w:t xml:space="preserve"> teenagers than previous years,</w:t>
      </w:r>
    </w:p>
    <w:p w14:paraId="4E0D9453" w14:textId="2DDD7AC3" w:rsidR="00144BCC" w:rsidRDefault="00144BCC" w:rsidP="00696D7C">
      <w:r>
        <w:t xml:space="preserve">This along with the turnover in care house staff will </w:t>
      </w:r>
      <w:r w:rsidR="00DB159A">
        <w:t>contribute</w:t>
      </w:r>
      <w:r>
        <w:t xml:space="preserve"> to the increase in the </w:t>
      </w:r>
      <w:r w:rsidRPr="00696D7C">
        <w:t>Not at Home</w:t>
      </w:r>
      <w:r>
        <w:t xml:space="preserve"> policy not being used as its either not applicable or staff have been unaware or unsure of its use. </w:t>
      </w:r>
      <w:r w:rsidR="00E26BC7">
        <w:t>This is an area of partnership working that continues to be addressed and led by police.</w:t>
      </w:r>
      <w:r w:rsidR="00B00BF1">
        <w:t xml:space="preserve"> </w:t>
      </w:r>
    </w:p>
    <w:p w14:paraId="75BCF513" w14:textId="77777777" w:rsidR="00696D7C" w:rsidRDefault="00E26BC7" w:rsidP="00696D7C">
      <w:r>
        <w:t>When considering where people go missing from, it remains that the majority of people go missing from their home address. This has decreased in the past year along with missing from NHS</w:t>
      </w:r>
      <w:r w:rsidR="00B00BF1">
        <w:t xml:space="preserve"> and missing from Foster Care</w:t>
      </w:r>
      <w:r>
        <w:t>. Increases can be seen in those that go missing from a Y</w:t>
      </w:r>
      <w:r w:rsidR="00B00BF1">
        <w:t>oung Persons Unit.</w:t>
      </w:r>
    </w:p>
    <w:p w14:paraId="525C2F22" w14:textId="6D12D635" w:rsidR="000F55DF" w:rsidRDefault="000F55DF" w:rsidP="00696D7C">
      <w:r>
        <w:t>During this Quarter t</w:t>
      </w:r>
      <w:r w:rsidRPr="000F55DF">
        <w:t xml:space="preserve">he National Missing Person Unit conducted health checks with all territorial </w:t>
      </w:r>
      <w:r>
        <w:t>divisions.</w:t>
      </w:r>
      <w:r w:rsidRPr="000F55DF">
        <w:t xml:space="preserve"> </w:t>
      </w:r>
      <w:r>
        <w:t xml:space="preserve">This </w:t>
      </w:r>
      <w:r w:rsidRPr="000F55DF">
        <w:t>provided benchmarking and the sharing of best pra</w:t>
      </w:r>
      <w:r>
        <w:t>ctice during feedback sessions i</w:t>
      </w:r>
      <w:r w:rsidRPr="000F55DF">
        <w:t>ncluding establishing</w:t>
      </w:r>
      <w:r>
        <w:t xml:space="preserve"> and</w:t>
      </w:r>
      <w:r w:rsidR="005E6DEA">
        <w:t xml:space="preserve"> the</w:t>
      </w:r>
      <w:r>
        <w:t xml:space="preserve"> </w:t>
      </w:r>
      <w:r w:rsidRPr="000F55DF">
        <w:t xml:space="preserve">re-establishing of protocols with local NHS boards </w:t>
      </w:r>
      <w:r>
        <w:t>whilst</w:t>
      </w:r>
      <w:r w:rsidRPr="000F55DF">
        <w:t xml:space="preserve"> refreshing the knowledge </w:t>
      </w:r>
      <w:r>
        <w:t>of</w:t>
      </w:r>
      <w:r w:rsidRPr="000F55DF">
        <w:t xml:space="preserve"> the use of the Philomena Protocol and the </w:t>
      </w:r>
      <w:r w:rsidRPr="00696D7C">
        <w:t>Not at Home</w:t>
      </w:r>
      <w:r w:rsidRPr="000F55DF">
        <w:t xml:space="preserve"> policy</w:t>
      </w:r>
      <w:r>
        <w:t xml:space="preserve"> with care providers</w:t>
      </w:r>
      <w:r w:rsidRPr="000F55DF">
        <w:t>.</w:t>
      </w:r>
    </w:p>
    <w:p w14:paraId="2CD6F0AB" w14:textId="543F23C4" w:rsidR="00C5681F" w:rsidRDefault="00C5681F" w:rsidP="002554CE">
      <w:pPr>
        <w:pStyle w:val="Heading4"/>
      </w:pPr>
      <w:r>
        <w:t>Road Safety</w:t>
      </w:r>
    </w:p>
    <w:p w14:paraId="3D3B2B03" w14:textId="219A7C7B" w:rsidR="00833F1B" w:rsidRDefault="00400D25" w:rsidP="00D52123">
      <w:r>
        <w:rPr>
          <w:noProof/>
          <w:lang w:eastAsia="en-GB"/>
        </w:rPr>
        <w:drawing>
          <wp:inline distT="0" distB="0" distL="0" distR="0" wp14:anchorId="3EA64D41" wp14:editId="38D3E5CF">
            <wp:extent cx="6264000" cy="3600000"/>
            <wp:effectExtent l="0" t="0" r="3810" b="635"/>
            <wp:docPr id="416460813" name="Picture 416460813" descr="This visualisation shows road casualties at the end of quarter 3 compared to the previous year and last five-years.&#10;&#10;The first section (recorded YTD comparison) shows 137 people killed on our roads in the PYTD compared to 121 YTD. Down 11.7% on last year. The six month sparkline shows the highest volume of people killed in December (20) and lowest volume in November (9). There were 1,406 people seriously injured on our roads in the PYTD compared to 1,389 YTD. Down 1.2% on last year. The six month sparkline shows the highest volume of people seriously injured in July (174) and lowest volume in November (118). There were 2,864 people slightly injured on our roads in the PYTD compared to 2,658 YTD. Down 7.2% on last year. The six month sparkline shows the highest volume of people slightly injured in July &amp; August (321) and lowest volume in September (262). There were two children killed on our roads in the PYTD compared to four YTD. Up 100.0% on last year. The six month sparkline shows one child was killed in both September &amp; October with none killed in the other four months. There were 141 children seriously injured on our roads in the PYTD compared to 131 YTD. Down 7.1% on last year. The six month sparkline shows the highest volume of children seriously injured in October (23) and lowest volume in December (eight).&#10;&#10;The second section (recorded five-year comparison) shows the five-year mean for people killed is 118.8 compared to 121 YTD. Up 1.9% on five-year mean. The five-year sparkline shows the highest volume of people killed in 2022/23 YTD (137) and lowest volume in 2020/21 YTD (89). The five-year mean for people seriously injured is 1,365.2 compared to 1,389 YTD. Up 1.7% on five-year mean. The five-year sparkline shows the highest volume of people seriously injured in 2019/20 YTD (1,530) and lowest volume in 2020/21 YTD (1,129). The five-year mean for people slightly injured is 2,969.6 compared to 2,658 YTD. Down 10.5% on five-year mean. The five-year sparkline shows the highest volume of people slightly injured in 2019/20 YTD (4,210) and lowest volume in 2020/21 YTD (2,385). The five-year mean for children killed is 2.6 compared to four YTD. Up 53.8% on five-year mean. The five-year sparkline shows the highest volume of children killed in 2021/22 YTD (five) and lowest volume in 2019/20 YTD (one). The five-year mean for children seriously injured is 125.4 compared to 131 YTD. Up 4.5% on five-year mean. The five-year sparkline shows the highest volume of children seriously injured in 2019/20 YTD (148) and lowest volume in 2020/21 YTD (101)." title="Road Casualties Visualis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31"/>
                    <a:stretch>
                      <a:fillRect/>
                    </a:stretch>
                  </pic:blipFill>
                  <pic:spPr>
                    <a:xfrm>
                      <a:off x="0" y="0"/>
                      <a:ext cx="6264000" cy="3600000"/>
                    </a:xfrm>
                    <a:prstGeom prst="rect">
                      <a:avLst/>
                    </a:prstGeom>
                  </pic:spPr>
                </pic:pic>
              </a:graphicData>
            </a:graphic>
          </wp:inline>
        </w:drawing>
      </w:r>
    </w:p>
    <w:p w14:paraId="128C22FC" w14:textId="5E080783" w:rsidR="00A45F65" w:rsidRDefault="00A45F65" w:rsidP="00D52123">
      <w:r>
        <w:lastRenderedPageBreak/>
        <w:t>The total number of people killed on Scotland’s roads has decreased year to date, with 16 fewer deaths. There has also been a reduction in the number of serious injuries, with a decrease of 17 compared to the same period last year.</w:t>
      </w:r>
    </w:p>
    <w:p w14:paraId="452E1E68" w14:textId="64380B36" w:rsidR="00A45F65" w:rsidRDefault="00A45F65" w:rsidP="00D52123">
      <w:r>
        <w:t>During Quarter 3,</w:t>
      </w:r>
      <w:r w:rsidR="00DA43BE">
        <w:t xml:space="preserve"> in December</w:t>
      </w:r>
      <w:r>
        <w:t xml:space="preserve"> </w:t>
      </w:r>
      <w:r w:rsidR="00E67760">
        <w:t>there were ten recorded fatalities in the West region of the country, mostly within Lanarkshire and Ayrshire. Compared to the previous year, this was an increase of six fatalities. In terms of serious injuries, both the North and East regions are showing</w:t>
      </w:r>
      <w:r w:rsidR="00FA5CFE">
        <w:t xml:space="preserve"> a</w:t>
      </w:r>
      <w:r w:rsidR="00E67760">
        <w:t xml:space="preserve"> decrease in the number of people injured compared to the previous year, with the West showing a slight increase of 7%.</w:t>
      </w:r>
    </w:p>
    <w:tbl>
      <w:tblPr>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CE7215" w:rsidRPr="00CE7215" w14:paraId="45A8A342" w14:textId="77777777" w:rsidTr="00001D01">
        <w:trPr>
          <w:trHeight w:val="680"/>
        </w:trPr>
        <w:tc>
          <w:tcPr>
            <w:tcW w:w="9862" w:type="dxa"/>
            <w:shd w:val="clear" w:color="auto" w:fill="FFE599" w:themeFill="accent4" w:themeFillTint="66"/>
            <w:vAlign w:val="center"/>
            <w:hideMark/>
          </w:tcPr>
          <w:p w14:paraId="07684195" w14:textId="1942ED2C" w:rsidR="00CE7215" w:rsidRPr="004F7574" w:rsidRDefault="00CE7215" w:rsidP="004F7574">
            <w:pPr>
              <w:pStyle w:val="TableHeaderLeft"/>
            </w:pPr>
            <w:r w:rsidRPr="004F7574">
              <w:rPr>
                <w:rStyle w:val="Strong"/>
                <w:b/>
                <w:bCs w:val="0"/>
              </w:rPr>
              <w:t xml:space="preserve">Proactive/Preventative Policing – </w:t>
            </w:r>
            <w:r w:rsidRPr="004F7574">
              <w:t>Road Policing Campaign Updates</w:t>
            </w:r>
          </w:p>
        </w:tc>
      </w:tr>
      <w:tr w:rsidR="00CE7215" w:rsidRPr="00CE7215" w14:paraId="1E75C78B" w14:textId="77777777" w:rsidTr="00CE7215">
        <w:trPr>
          <w:trHeight w:val="680"/>
        </w:trPr>
        <w:tc>
          <w:tcPr>
            <w:tcW w:w="9862" w:type="dxa"/>
            <w:shd w:val="clear" w:color="auto" w:fill="FFF2CC" w:themeFill="accent4" w:themeFillTint="33"/>
            <w:vAlign w:val="center"/>
            <w:hideMark/>
          </w:tcPr>
          <w:p w14:paraId="36F9C0EE" w14:textId="77777777" w:rsidR="00CE7215" w:rsidRDefault="00CE7215" w:rsidP="00CE7215">
            <w:pPr>
              <w:pStyle w:val="TableBodyLeft"/>
            </w:pPr>
            <w:r>
              <w:t>During this quarter a number of campaigns have been resulted, all of which are aimed at proactively preventing fatalities and injuries on Scotland’s roads.</w:t>
            </w:r>
          </w:p>
          <w:p w14:paraId="266B43ED" w14:textId="13D0CFC1" w:rsidR="00CE7215" w:rsidRDefault="00CE7215" w:rsidP="00CE7215">
            <w:pPr>
              <w:pStyle w:val="TableBodyLeft"/>
            </w:pPr>
            <w:r w:rsidRPr="00CE7215">
              <w:rPr>
                <w:rStyle w:val="Strong"/>
              </w:rPr>
              <w:t>The National Speed Campaign</w:t>
            </w:r>
            <w:r>
              <w:t xml:space="preserve"> ran during October 2023 in partnership with safety Camera Units focusing on speeding hotspots, community complaint loci and areas identified with high volumes of vulnerable road users resulting in 2</w:t>
            </w:r>
            <w:r w:rsidR="00045A86">
              <w:t>,</w:t>
            </w:r>
            <w:r>
              <w:t>742 speeding offences being detected.</w:t>
            </w:r>
          </w:p>
          <w:p w14:paraId="7C19B04A" w14:textId="77777777" w:rsidR="00CE7215" w:rsidRDefault="00CE7215" w:rsidP="00CE7215">
            <w:pPr>
              <w:pStyle w:val="TableBodyLeft"/>
            </w:pPr>
            <w:r w:rsidRPr="00CE7215">
              <w:rPr>
                <w:rStyle w:val="Strong"/>
              </w:rPr>
              <w:t>Operation Drive Insured</w:t>
            </w:r>
            <w:r>
              <w:t xml:space="preserve"> is a UK-wide education, engagement and enforcement campaign and was run in partnership with NPCC and Motor Insurers Bureau. It commenced in November 2023 detecting 357 offences of failing to insure against third party risks in Scotland.</w:t>
            </w:r>
          </w:p>
          <w:p w14:paraId="718BE24E" w14:textId="50BB6FDA" w:rsidR="00CE7215" w:rsidRPr="00CE7215" w:rsidRDefault="00CE7215" w:rsidP="00CE7215">
            <w:pPr>
              <w:pStyle w:val="TableBodyLeft"/>
            </w:pPr>
            <w:r w:rsidRPr="00CE7215">
              <w:rPr>
                <w:rStyle w:val="Strong"/>
              </w:rPr>
              <w:t>The Festive Drink/Drug Drive Campaign</w:t>
            </w:r>
            <w:r>
              <w:t xml:space="preserve"> was in operation during December 2023 until early January 2024 and received publication through Corporate Communications support and a social media drive. Police Officers conducted a total of 3</w:t>
            </w:r>
            <w:r w:rsidR="00045A86">
              <w:t>,</w:t>
            </w:r>
            <w:r>
              <w:t>700 roadside tests (3</w:t>
            </w:r>
            <w:r w:rsidR="00045A86">
              <w:t>,</w:t>
            </w:r>
            <w:r>
              <w:t>219 breath tests and 481 drug wipes) resulting in the detection of 831 drivers for drink or drug driving related offences, indicating an increase of 109 (15.1%) from last year’s campaign results.</w:t>
            </w:r>
          </w:p>
        </w:tc>
      </w:tr>
    </w:tbl>
    <w:p w14:paraId="0A9ADD45" w14:textId="484E339B" w:rsidR="002A2FBA" w:rsidRDefault="002A2FBA" w:rsidP="002554CE">
      <w:pPr>
        <w:pStyle w:val="Heading4"/>
      </w:pPr>
      <w:r w:rsidRPr="002A2FBA">
        <w:t>Local Insight</w:t>
      </w:r>
      <w:r w:rsidR="007D6890">
        <w:t>:</w:t>
      </w:r>
      <w:r w:rsidRPr="002A2FBA">
        <w:t xml:space="preserve"> Drink Drug Driving Offences </w:t>
      </w:r>
    </w:p>
    <w:p w14:paraId="2AD067E0" w14:textId="0D19B1B1" w:rsidR="002A2FBA" w:rsidRPr="002A2FBA" w:rsidRDefault="00327254" w:rsidP="00BD1D78">
      <w:pPr>
        <w:rPr>
          <w:b/>
          <w:bCs/>
        </w:rPr>
      </w:pPr>
      <w:r>
        <w:rPr>
          <w:b/>
          <w:bCs/>
          <w:noProof/>
          <w:lang w:eastAsia="en-GB"/>
        </w:rPr>
        <w:drawing>
          <wp:inline distT="0" distB="0" distL="0" distR="0" wp14:anchorId="3D92D58C" wp14:editId="40839D4E">
            <wp:extent cx="4423845" cy="2143125"/>
            <wp:effectExtent l="0" t="0" r="0" b="0"/>
            <wp:docPr id="1519119467" name="Picture 1" descr="This visualisation shows drink drug driving offences YTD over a six year period covering the Force (light blue), West region (yellow), North region (red) and East region (dark blue).&#10;&#10;In 2018/19 there was a six year low of 4,471 offences across Scotland with 2,056 in the West, 1,212 in the North and 1,203 in the East.&#10;&#10;In 2019/20 there were 4,919 offences across scotland with 2,286 in the West, 1,322 in the North and 1,311 in the East.&#10;&#10;In 2020/21 there were 5,688 offences across Scotland with 2,686 in the West, 1,716 in the North and 1,286 in the East.&#10;&#10;In 2021/22 there were 5,664 offences across Scotland with 2,684 in the West, 1,574 in the North and 1,406 in the East.&#10;&#10;In 2022/23 there were 5,649 offences across Scotland with 2,914 in the West, 1,296 in the North and 1,439 in the East.&#10;&#10;And in 2023/24 there was a six year high of 6,090 offences across Scotland with 3,066 in the West, 1,639 in the North and 1,385 in the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119467" name="Picture 1" descr="This visualisation shows drink drug driving offences YTD over a six year period covering the Force (light blue), West region (yellow), North region (red) and East region (dark blue).&#10;&#10;In 2018/19 there was a six year low of 4,471 offences across Scotland with 2,056 in the West, 1,212 in the North and 1,203 in the East.&#10;&#10;In 2019/20 there were 4,919 offences across scotland with 2,286 in the West, 1,322 in the North and 1,311 in the East.&#10;&#10;In 2020/21 there were 5,688 offences across Scotland with 2,686 in the West, 1,716 in the North and 1,286 in the East.&#10;&#10;In 2021/22 there were 5,664 offences across Scotland with 2,684 in the West, 1,574 in the North and 1,406 in the East.&#10;&#10;In 2022/23 there were 5,649 offences across Scotland with 2,914 in the West, 1,296 in the North and 1,439 in the East.&#10;&#10;And in 2023/24 there was a six year high of 6,090 offences across Scotland with 3,066 in the West, 1,639 in the North and 1,385 in the Eas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85618" cy="2173051"/>
                    </a:xfrm>
                    <a:prstGeom prst="rect">
                      <a:avLst/>
                    </a:prstGeom>
                    <a:noFill/>
                  </pic:spPr>
                </pic:pic>
              </a:graphicData>
            </a:graphic>
          </wp:inline>
        </w:drawing>
      </w:r>
    </w:p>
    <w:p w14:paraId="6A244883" w14:textId="19B9E52E" w:rsidR="002A2FBA" w:rsidRDefault="00E321F9" w:rsidP="00D52123">
      <w:r>
        <w:lastRenderedPageBreak/>
        <w:t xml:space="preserve">The number of drink, drug driving offences </w:t>
      </w:r>
      <w:r w:rsidR="000B3B7D">
        <w:t>(including those for failing to provide a specimen)</w:t>
      </w:r>
      <w:r>
        <w:t xml:space="preserve"> across the Force have increased by 441 (7.8%) YTD compared to the previous year. Compared to the same period last year within the different regions of Scotland, the North has increased by 343 (26.5%), the West by 152 (5.2%), whilst the East has observed a small decrease of 54 (-3.8%). </w:t>
      </w:r>
      <w:r w:rsidR="00EE1678">
        <w:t xml:space="preserve">The increase in this crime type </w:t>
      </w:r>
      <w:r w:rsidR="009025C6">
        <w:t>is</w:t>
      </w:r>
      <w:r w:rsidR="00EE1678">
        <w:t xml:space="preserve"> a result of proactive policing through campaigns such as our Festive Drink/</w:t>
      </w:r>
      <w:r w:rsidR="003C240D">
        <w:t>D</w:t>
      </w:r>
      <w:r w:rsidR="00EE1678">
        <w:t>rug Drive Campaign noted above.</w:t>
      </w:r>
    </w:p>
    <w:p w14:paraId="13D472BA" w14:textId="412FAB73" w:rsidR="00EF3190" w:rsidRDefault="00EF3190" w:rsidP="00BD1D78">
      <w:r w:rsidRPr="00EF3190">
        <w:rPr>
          <w:noProof/>
          <w:lang w:eastAsia="en-GB"/>
        </w:rPr>
        <w:drawing>
          <wp:inline distT="0" distB="0" distL="0" distR="0" wp14:anchorId="5CD14194" wp14:editId="5798AB0D">
            <wp:extent cx="5400000" cy="2160000"/>
            <wp:effectExtent l="0" t="0" r="0" b="0"/>
            <wp:docPr id="1894519921" name="Picture 1894519921" descr="This visualisation shows the number of detections for drink drug driving per division in the year to date (blue columns) compared to their five-year mean (pink line) with light blue below the respective five-year mean and dark blue above. The breakdown of drink drug driving detections for each local policing division and their percentage increase or decrease from the five-year mean is:&#10;&#10;A Division – 682 YTD against five-year mean of 566, up 20.5%&#10;D Division – 439 YTD against five-year mean of 460, down 4.6%&#10;N Division – 628 YTD against five-year mean of 439, up 43.1%&#10;C Division – 278 YTD against five-year mean of 290, down 4.1%&#10;E Division – 385 YTD against five-year mean of 346, up 11.3%&#10;J Division – 471 YTD against five-year mean of 422, up 11.6%&#10;P Division – 373 YTD against five-year mean of 297, up 25.6%&#10;G Division – 852 YTD against five-year mean of 711, up 19.8%&#10;U Division – 498 YTD against five-year mean of 414, up 20.3%&#10;Q Division – 991 YTD against five-year mean of 817, up 21.3%&#10;L Division – 323 YTD against five-year mean of 270, up 19.6%&#10;K Division – 245 YTD against five-year mean of 245, no % change&#10;V Division – 284 YTD against five-year mean of 160, up 77.5%." title="Drink Drug Driving Detections by Division Visualis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4519921" name=""/>
                    <pic:cNvPicPr preferRelativeResize="0"/>
                  </pic:nvPicPr>
                  <pic:blipFill>
                    <a:blip r:embed="rId33"/>
                    <a:stretch>
                      <a:fillRect/>
                    </a:stretch>
                  </pic:blipFill>
                  <pic:spPr>
                    <a:xfrm>
                      <a:off x="0" y="0"/>
                      <a:ext cx="5400000" cy="2160000"/>
                    </a:xfrm>
                    <a:prstGeom prst="rect">
                      <a:avLst/>
                    </a:prstGeom>
                  </pic:spPr>
                </pic:pic>
              </a:graphicData>
            </a:graphic>
          </wp:inline>
        </w:drawing>
      </w:r>
    </w:p>
    <w:p w14:paraId="221D6666" w14:textId="76DA2395" w:rsidR="00EF3190" w:rsidRDefault="00EF3190" w:rsidP="00D52123">
      <w:r>
        <w:t xml:space="preserve">The above shows the number of detections for Drink, Drug </w:t>
      </w:r>
      <w:r w:rsidR="00824AC2">
        <w:t>D</w:t>
      </w:r>
      <w:r>
        <w:t>riving compared to the five</w:t>
      </w:r>
      <w:r w:rsidR="00824AC2">
        <w:t>-</w:t>
      </w:r>
      <w:r>
        <w:t>year mean by Division. Most divisions have shown increases compared to the five</w:t>
      </w:r>
      <w:r w:rsidR="00824AC2">
        <w:t>-</w:t>
      </w:r>
      <w:r>
        <w:t xml:space="preserve">year mean, although it should be remembered that due to the COVID-19 lockdown periods the </w:t>
      </w:r>
      <w:r w:rsidR="00824AC2">
        <w:t>five-year</w:t>
      </w:r>
      <w:r>
        <w:t xml:space="preserve"> mean has been reduced due to the lack of traffic on the roads during this period.</w:t>
      </w:r>
    </w:p>
    <w:p w14:paraId="36F7D5F1" w14:textId="4EEF8CB5" w:rsidR="00D35515" w:rsidRDefault="00D35515" w:rsidP="002554CE">
      <w:pPr>
        <w:pStyle w:val="Heading4"/>
      </w:pPr>
      <w:r>
        <w:t>Stop and Search</w:t>
      </w:r>
    </w:p>
    <w:p w14:paraId="70E71E91" w14:textId="00DB0F7C" w:rsidR="00020E71" w:rsidRDefault="00400D25" w:rsidP="00D24A03">
      <w:r>
        <w:rPr>
          <w:noProof/>
          <w:lang w:eastAsia="en-GB"/>
        </w:rPr>
        <w:drawing>
          <wp:inline distT="0" distB="0" distL="0" distR="0" wp14:anchorId="6EEDB394" wp14:editId="3F098070">
            <wp:extent cx="6264000" cy="720000"/>
            <wp:effectExtent l="0" t="0" r="3810" b="4445"/>
            <wp:docPr id="416460814" name="Picture 416460814" descr="This visualisation shows the stop and search compliance rate at the end of quarter 3 compared to the previous year.&#10;&#10;The section (recorded YTD comparison) shows the compliance rate was 98.9% PYTD compared to 99.2% YTD. Up 0.3% points on last year. Six month sparklines are not provided for this measure" title="Stop Search Visualis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64000" cy="720000"/>
                    </a:xfrm>
                    <a:prstGeom prst="rect">
                      <a:avLst/>
                    </a:prstGeom>
                  </pic:spPr>
                </pic:pic>
              </a:graphicData>
            </a:graphic>
          </wp:inline>
        </w:drawing>
      </w:r>
    </w:p>
    <w:p w14:paraId="462DDCBD" w14:textId="6C697146" w:rsidR="002554CE" w:rsidRDefault="00FB2D23" w:rsidP="00D24A03">
      <w:r>
        <w:t>More information about stop and search statistics as well as stop and search data files can be found on the Police Scotland website</w:t>
      </w:r>
      <w:r w:rsidR="00431A34">
        <w:t>:</w:t>
      </w:r>
      <w:r>
        <w:t xml:space="preserve"> </w:t>
      </w:r>
      <w:hyperlink r:id="rId35" w:history="1">
        <w:r w:rsidR="00431A34">
          <w:rPr>
            <w:rStyle w:val="Hyperlink"/>
          </w:rPr>
          <w:t>Stop Search Data</w:t>
        </w:r>
      </w:hyperlink>
      <w:r>
        <w:t>.</w:t>
      </w:r>
    </w:p>
    <w:p w14:paraId="4592FFF0" w14:textId="687A09F6" w:rsidR="004F1C1A" w:rsidRDefault="004F1C1A" w:rsidP="00D24A03">
      <w:pPr>
        <w:rPr>
          <w:rFonts w:eastAsiaTheme="majorEastAsia" w:cstheme="majorBidi"/>
          <w:b/>
          <w:sz w:val="28"/>
        </w:rPr>
      </w:pPr>
      <w:r>
        <w:br w:type="page"/>
      </w:r>
    </w:p>
    <w:p w14:paraId="5D7E0136" w14:textId="3884468A" w:rsidR="00902B08" w:rsidRDefault="00902B08" w:rsidP="00902B08">
      <w:pPr>
        <w:pStyle w:val="Heading3"/>
      </w:pPr>
      <w:bookmarkStart w:id="43" w:name="_Toc140746130"/>
      <w:bookmarkStart w:id="44" w:name="_Toc140750245"/>
      <w:bookmarkStart w:id="45" w:name="_Toc142045263"/>
      <w:bookmarkStart w:id="46" w:name="_Toc157687363"/>
      <w:bookmarkStart w:id="47" w:name="_Toc157696607"/>
      <w:bookmarkStart w:id="48" w:name="_Toc158895842"/>
      <w:r>
        <w:lastRenderedPageBreak/>
        <w:t>Strategic Outcome 2</w:t>
      </w:r>
      <w:bookmarkEnd w:id="43"/>
      <w:bookmarkEnd w:id="44"/>
      <w:bookmarkEnd w:id="45"/>
      <w:bookmarkEnd w:id="46"/>
      <w:bookmarkEnd w:id="47"/>
      <w:bookmarkEnd w:id="48"/>
    </w:p>
    <w:tbl>
      <w:tblPr>
        <w:tblStyle w:val="TableGrid1"/>
        <w:tblW w:w="9865" w:type="dxa"/>
        <w:shd w:val="clear" w:color="auto" w:fill="3269AD"/>
        <w:tblLook w:val="04A0" w:firstRow="1" w:lastRow="0" w:firstColumn="1" w:lastColumn="0" w:noHBand="0" w:noVBand="1"/>
        <w:tblCaption w:val="Strategic Outcome 2 and Objectives"/>
        <w:tblDescription w:val="This box provides a description of Strategic Outcome 2 and the three objectives which sit under this outcome in the Annual Police Plan 2022/23."/>
      </w:tblPr>
      <w:tblGrid>
        <w:gridCol w:w="9865"/>
      </w:tblGrid>
      <w:tr w:rsidR="00902B08" w:rsidRPr="00834FF6" w14:paraId="6FA731A6" w14:textId="77777777" w:rsidTr="00CF7796">
        <w:trPr>
          <w:tblHeader/>
        </w:trPr>
        <w:tc>
          <w:tcPr>
            <w:tcW w:w="9865" w:type="dxa"/>
            <w:shd w:val="clear" w:color="auto" w:fill="3269AD"/>
          </w:tcPr>
          <w:p w14:paraId="2D44E891" w14:textId="4D356AF7" w:rsidR="00902B08" w:rsidRPr="00834FF6" w:rsidRDefault="00902B08" w:rsidP="00AA5E0E">
            <w:pPr>
              <w:pStyle w:val="TableNormal1"/>
              <w:rPr>
                <w:rFonts w:ascii="Arial" w:hAnsi="Arial" w:cs="Arial"/>
                <w:sz w:val="24"/>
              </w:rPr>
            </w:pPr>
            <w:r w:rsidRPr="00834FF6">
              <w:rPr>
                <w:rFonts w:ascii="Arial" w:hAnsi="Arial" w:cs="Arial"/>
                <w:sz w:val="24"/>
              </w:rPr>
              <w:t>The needs of local communities are addressed through effective service delivery</w:t>
            </w:r>
            <w:r w:rsidR="004F2CA2" w:rsidRPr="00834FF6">
              <w:rPr>
                <w:rFonts w:ascii="Arial" w:hAnsi="Arial" w:cs="Arial"/>
                <w:sz w:val="24"/>
              </w:rPr>
              <w:t>.</w:t>
            </w:r>
          </w:p>
          <w:p w14:paraId="479AE069" w14:textId="15555336" w:rsidR="00902B08" w:rsidRPr="00834FF6" w:rsidRDefault="00902B08" w:rsidP="00AA5E0E">
            <w:pPr>
              <w:pStyle w:val="TableNormal1"/>
              <w:rPr>
                <w:rFonts w:ascii="Arial" w:hAnsi="Arial" w:cs="Arial"/>
                <w:sz w:val="24"/>
              </w:rPr>
            </w:pPr>
            <w:r w:rsidRPr="00834FF6">
              <w:rPr>
                <w:rFonts w:ascii="Arial" w:hAnsi="Arial" w:cs="Arial"/>
                <w:sz w:val="24"/>
              </w:rPr>
              <w:t>Objectives</w:t>
            </w:r>
            <w:r w:rsidR="004F2CA2" w:rsidRPr="00834FF6">
              <w:rPr>
                <w:rFonts w:ascii="Arial" w:hAnsi="Arial" w:cs="Arial"/>
                <w:sz w:val="24"/>
              </w:rPr>
              <w:t>:</w:t>
            </w:r>
          </w:p>
          <w:p w14:paraId="1B9FFEE7" w14:textId="77777777" w:rsidR="00902B08" w:rsidRPr="00C623F1" w:rsidRDefault="00902B08" w:rsidP="00D228ED">
            <w:pPr>
              <w:pStyle w:val="BulletTable"/>
              <w:rPr>
                <w:rFonts w:ascii="Arial" w:hAnsi="Arial" w:cs="Arial"/>
                <w:color w:val="FFFFFF" w:themeColor="background1"/>
                <w:sz w:val="24"/>
                <w:szCs w:val="24"/>
              </w:rPr>
            </w:pPr>
            <w:r w:rsidRPr="00C623F1">
              <w:rPr>
                <w:rFonts w:ascii="Arial" w:hAnsi="Arial" w:cs="Arial"/>
                <w:color w:val="FFFFFF" w:themeColor="background1"/>
                <w:sz w:val="24"/>
                <w:szCs w:val="24"/>
              </w:rPr>
              <w:t>Understand our communities and deliver the right mix of services to meet their needs</w:t>
            </w:r>
          </w:p>
          <w:p w14:paraId="6402A6D4" w14:textId="77777777" w:rsidR="00902B08" w:rsidRPr="00C623F1" w:rsidRDefault="00902B08" w:rsidP="00D228ED">
            <w:pPr>
              <w:pStyle w:val="BulletTable"/>
              <w:rPr>
                <w:rFonts w:ascii="Arial" w:hAnsi="Arial" w:cs="Arial"/>
                <w:color w:val="FFFFFF" w:themeColor="background1"/>
                <w:sz w:val="24"/>
                <w:szCs w:val="24"/>
              </w:rPr>
            </w:pPr>
            <w:r w:rsidRPr="00C623F1">
              <w:rPr>
                <w:rFonts w:ascii="Arial" w:hAnsi="Arial" w:cs="Arial"/>
                <w:color w:val="FFFFFF" w:themeColor="background1"/>
                <w:sz w:val="24"/>
                <w:szCs w:val="24"/>
              </w:rPr>
              <w:t>Support our communities through a blend of local and national expertise</w:t>
            </w:r>
          </w:p>
          <w:p w14:paraId="54C6F4B9" w14:textId="77777777" w:rsidR="00902B08" w:rsidRPr="00017D9A" w:rsidRDefault="00902B08" w:rsidP="00D228ED">
            <w:pPr>
              <w:pStyle w:val="BulletTable"/>
              <w:rPr>
                <w:color w:val="FFFFFF" w:themeColor="background1"/>
              </w:rPr>
            </w:pPr>
            <w:r w:rsidRPr="00C623F1">
              <w:rPr>
                <w:rFonts w:ascii="Arial" w:hAnsi="Arial" w:cs="Arial"/>
                <w:color w:val="FFFFFF" w:themeColor="background1"/>
                <w:sz w:val="24"/>
                <w:szCs w:val="24"/>
              </w:rPr>
              <w:t>Support the changing nature of communities</w:t>
            </w:r>
          </w:p>
        </w:tc>
      </w:tr>
    </w:tbl>
    <w:p w14:paraId="48DE4DC9" w14:textId="0E1374EA" w:rsidR="00A74402" w:rsidRDefault="00080C94" w:rsidP="002554CE">
      <w:pPr>
        <w:pStyle w:val="Heading4"/>
      </w:pPr>
      <w:bookmarkStart w:id="49" w:name="C3"/>
      <w:bookmarkStart w:id="50" w:name="_Hlk140089786"/>
      <w:bookmarkEnd w:id="49"/>
      <w:r>
        <w:t>Call Handling</w:t>
      </w:r>
      <w:r w:rsidR="00A74402" w:rsidRPr="00D405A4">
        <w:t xml:space="preserve"> </w:t>
      </w:r>
      <w:r w:rsidR="00A43F14">
        <w:t>Challenge</w:t>
      </w:r>
    </w:p>
    <w:p w14:paraId="23F08B35" w14:textId="0992CC93" w:rsidR="00C94A50" w:rsidRDefault="00CD08A4" w:rsidP="00390EF7">
      <w:r>
        <w:rPr>
          <w:noProof/>
          <w:lang w:eastAsia="en-GB"/>
        </w:rPr>
        <w:drawing>
          <wp:inline distT="0" distB="0" distL="0" distR="0" wp14:anchorId="5FBEE6C3" wp14:editId="26B936D5">
            <wp:extent cx="6264000" cy="2448000"/>
            <wp:effectExtent l="0" t="0" r="3810" b="0"/>
            <wp:docPr id="416460815" name="Picture 416460815" descr="This visualisation shows Call Handling data at the end of quarter 3 compared to the previous year.&#10;&#10;The first section (recorded YTD comparison) shows 560,838 calls to 999 PYTD compared to 641,905 YTD. Up 14.5% on last year. 1,104,573 calls to 101 PYTD compared to 1,050,025 YTD. Down 4.9% on last year. 1,665,411 combined calls to 999/101 PYTD compared to 1,691,930 YTD. Up 1.6% on last year. 535,857 calls to 999/101 resulted in no incident/crime in PYTD compared to 477,158 YTD. Down 11.0% on last year.&#10;&#10;The second section (recorded YTD % comparison) shows 33.2% of calls resulted in no incident/crime in PYTD compared to 28.2% YTD. Down 5.0% points from last year. " title="Call Handling Visualis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36"/>
                    <a:stretch>
                      <a:fillRect/>
                    </a:stretch>
                  </pic:blipFill>
                  <pic:spPr>
                    <a:xfrm>
                      <a:off x="0" y="0"/>
                      <a:ext cx="6264000" cy="2448000"/>
                    </a:xfrm>
                    <a:prstGeom prst="rect">
                      <a:avLst/>
                    </a:prstGeom>
                  </pic:spPr>
                </pic:pic>
              </a:graphicData>
            </a:graphic>
          </wp:inline>
        </w:drawing>
      </w:r>
    </w:p>
    <w:p w14:paraId="10596072" w14:textId="5E192D3E" w:rsidR="00390EF7" w:rsidRDefault="00390EF7" w:rsidP="00390EF7">
      <w:r>
        <w:t>During the reporting period, Police Scotland received a total of 1,691,930 calls which is an increase of 1.6% compared to last year. 999 calls increased by 14.5% when compared to the same period last year (up from 560,838 to 641,905). However, the volume of 101 calls received decreased by 4.9% (down from 1,104,573 to 1,050,025).</w:t>
      </w:r>
    </w:p>
    <w:p w14:paraId="4FD5B614" w14:textId="41BEE9B8" w:rsidR="00390EF7" w:rsidRPr="003F62DE" w:rsidRDefault="00390EF7" w:rsidP="00390EF7">
      <w:pPr>
        <w:rPr>
          <w:rFonts w:cs="Arial"/>
        </w:rPr>
      </w:pPr>
      <w:r>
        <w:t xml:space="preserve">The average answer time for 101 calls increased by 1 minute 47 seconds to 6 minutes 4 </w:t>
      </w:r>
      <w:r w:rsidRPr="003F62DE">
        <w:rPr>
          <w:rFonts w:cs="Arial"/>
        </w:rPr>
        <w:t>seconds.</w:t>
      </w:r>
    </w:p>
    <w:p w14:paraId="54B6EDBD" w14:textId="5E0ADA66" w:rsidR="00390EF7" w:rsidRPr="003F62DE" w:rsidRDefault="003F62DE" w:rsidP="00390EF7">
      <w:pPr>
        <w:rPr>
          <w:rFonts w:cs="Arial"/>
          <w:color w:val="000000"/>
        </w:rPr>
      </w:pPr>
      <w:r w:rsidRPr="003F62DE">
        <w:rPr>
          <w:rFonts w:cs="Arial"/>
          <w:color w:val="000000"/>
        </w:rPr>
        <w:t xml:space="preserve">Partner demand includes calls received from other forces and Emergency Service Partners via dedicated numbers from Scottish Fire and Rescue, Scottish Ambulance Service, Mountain Rescue, Coast Guard, Mental Health Pathway (NHS 24), </w:t>
      </w:r>
      <w:proofErr w:type="spellStart"/>
      <w:r w:rsidRPr="003F62DE">
        <w:rPr>
          <w:rFonts w:cs="Arial"/>
          <w:color w:val="000000"/>
        </w:rPr>
        <w:t>OmniCrash</w:t>
      </w:r>
      <w:proofErr w:type="spellEnd"/>
      <w:r w:rsidRPr="003F62DE">
        <w:rPr>
          <w:rFonts w:cs="Arial"/>
          <w:color w:val="000000"/>
        </w:rPr>
        <w:t xml:space="preserve"> and Oil Industry Agency.</w:t>
      </w:r>
    </w:p>
    <w:p w14:paraId="25659344" w14:textId="603ECCFA" w:rsidR="003F62DE" w:rsidRDefault="003F62DE" w:rsidP="00390EF7">
      <w:r w:rsidRPr="003F62DE">
        <w:rPr>
          <w:rFonts w:cs="Arial"/>
          <w:color w:val="000000"/>
        </w:rPr>
        <w:t>Partner demand calls increased by 24.7% compared to last year with 2,836 external force requests made compared to 2,274 last year. The reason for such calls vary and each are dealt with by a service advisor in the most appropriate manner.</w:t>
      </w:r>
    </w:p>
    <w:p w14:paraId="7958C7B0" w14:textId="6F6C9DEB" w:rsidR="00686731" w:rsidRDefault="0092734A" w:rsidP="002554CE">
      <w:pPr>
        <w:pStyle w:val="Heading4"/>
      </w:pPr>
      <w:r>
        <w:lastRenderedPageBreak/>
        <w:t xml:space="preserve">Key Exception: </w:t>
      </w:r>
      <w:r w:rsidR="008A3E8A">
        <w:t>999 Calls Answered in under 10 seconds</w:t>
      </w:r>
      <w:r w:rsidR="00686731">
        <w:t xml:space="preserve"> </w:t>
      </w:r>
      <w:r w:rsidR="00156C1A">
        <w:t>-</w:t>
      </w:r>
      <w:r w:rsidR="00686731">
        <w:t xml:space="preserve"> Benchmark</w:t>
      </w:r>
      <w:r w:rsidR="008A3E8A">
        <w:t>ing</w:t>
      </w:r>
    </w:p>
    <w:p w14:paraId="16F94E94" w14:textId="1AB6F52A" w:rsidR="008A3E8A" w:rsidRDefault="00A91EB3" w:rsidP="00BD1D78">
      <w:bookmarkStart w:id="51" w:name="_Hlk142917949"/>
      <w:r>
        <w:rPr>
          <w:noProof/>
          <w:lang w:eastAsia="en-GB"/>
        </w:rPr>
        <w:drawing>
          <wp:inline distT="0" distB="0" distL="0" distR="0" wp14:anchorId="5717AAF8" wp14:editId="367DE755">
            <wp:extent cx="5400000" cy="2160000"/>
            <wp:effectExtent l="0" t="0" r="0" b="0"/>
            <wp:docPr id="1894519914" name="Picture 1894519914" descr="This visualisation shows the percentage of 999 calls answered in under 10 seconds in Scotland (blue columns) compared to the UK (red line) as a whole month on month from April 2023 to December 2023.&#10;&#10;A low of 71.8% was recorded in Scotland during May 2023 however since August 2023 (76.0%), the percentage of calls answered in under 10 seconds has been on a month on month upward trend with a high of 85.9% achieved in December 2023. &#10;&#10;In the UK figures, a low of 73.1% was recorded in June 2023 with a similar month on month upward trajectory noted in comparison to Scotland cumulating in a high of 86.1% being achieved in December 2023." title="999 Calls Visualis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000" cy="2160000"/>
                    </a:xfrm>
                    <a:prstGeom prst="rect">
                      <a:avLst/>
                    </a:prstGeom>
                    <a:noFill/>
                  </pic:spPr>
                </pic:pic>
              </a:graphicData>
            </a:graphic>
          </wp:inline>
        </w:drawing>
      </w:r>
    </w:p>
    <w:bookmarkEnd w:id="51"/>
    <w:p w14:paraId="08CB48A6" w14:textId="754830A5" w:rsidR="00390EF7" w:rsidRDefault="00686731" w:rsidP="00390EF7">
      <w:r>
        <w:t>T</w:t>
      </w:r>
      <w:r w:rsidR="00390EF7">
        <w:t>he National Police Chiefs Council (NPCC) noted record high 999 call volumes experienced by emergency services across the UK.</w:t>
      </w:r>
    </w:p>
    <w:p w14:paraId="6B8D9802" w14:textId="4F451559" w:rsidR="00686731" w:rsidRDefault="00390EF7" w:rsidP="00390EF7">
      <w:r>
        <w:t xml:space="preserve">Police Scotland aim to achieve an average speed of answer for 999 calls within 10 seconds, a target also required by all 44 UK Police </w:t>
      </w:r>
      <w:r w:rsidRPr="003F62DE">
        <w:rPr>
          <w:rFonts w:cs="Arial"/>
        </w:rPr>
        <w:t>Forces.</w:t>
      </w:r>
      <w:r w:rsidR="003F62DE" w:rsidRPr="003F62DE">
        <w:rPr>
          <w:rFonts w:cs="Arial"/>
        </w:rPr>
        <w:t xml:space="preserve"> </w:t>
      </w:r>
      <w:r w:rsidR="003F62DE" w:rsidRPr="003F62DE">
        <w:rPr>
          <w:rFonts w:cs="Arial"/>
          <w:color w:val="000000"/>
        </w:rPr>
        <w:t>During the reporting period, Police Scotland achieved an average answer time of 10 seconds, which is the same as that achieved last year.</w:t>
      </w:r>
      <w:r w:rsidRPr="003F62DE">
        <w:rPr>
          <w:rFonts w:cs="Arial"/>
        </w:rPr>
        <w:t xml:space="preserve"> </w:t>
      </w:r>
      <w:r w:rsidR="008A3E8A" w:rsidRPr="003F62DE">
        <w:rPr>
          <w:rFonts w:cs="Arial"/>
        </w:rPr>
        <w:t>The</w:t>
      </w:r>
      <w:r w:rsidR="008A3E8A" w:rsidRPr="008A3E8A">
        <w:t xml:space="preserve"> percentage of 999 calls answered within 10 seconds by Police Scotland has shown a gradual </w:t>
      </w:r>
      <w:r w:rsidR="008A3E8A">
        <w:t>increase since M</w:t>
      </w:r>
      <w:r w:rsidR="008A3E8A" w:rsidRPr="008A3E8A">
        <w:t>ay 2023</w:t>
      </w:r>
      <w:r w:rsidR="008A3E8A">
        <w:t xml:space="preserve"> with a year-to-date high of 85.9% recorded in December 2023. This trend is similar to the monthly performance noted throughout the UK where a high of 86.1% was recorded in December 2023.</w:t>
      </w:r>
    </w:p>
    <w:p w14:paraId="79AECBBD" w14:textId="5419046B" w:rsidR="00390EF7" w:rsidRDefault="00390EF7" w:rsidP="00390EF7">
      <w:r>
        <w:t>Due to the increase in 999 call volumes this remains a challenge to sustain and has been achieved by prioritising emergency calls over non-emergency 101 calls. Consequently, the performance of 101 average speed of answer has be</w:t>
      </w:r>
      <w:r w:rsidR="00BD462E">
        <w:t xml:space="preserve">en </w:t>
      </w:r>
      <w:r>
        <w:t xml:space="preserve">affected as the same advisors answer all call types </w:t>
      </w:r>
      <w:r w:rsidR="00696D7C">
        <w:t>including “Contact Us” emails.</w:t>
      </w:r>
    </w:p>
    <w:p w14:paraId="2ADEEFC7" w14:textId="0FF4D822" w:rsidR="00E314B5" w:rsidRPr="00E314B5" w:rsidRDefault="00390EF7" w:rsidP="00390EF7">
      <w:r>
        <w:t xml:space="preserve">Efforts continue to signpost callers to more appropriate methods of contact, including via “Contact Us” and the online reporting facilities via the force website. The use of “Contact Us” </w:t>
      </w:r>
      <w:r w:rsidR="00045A86">
        <w:t>e</w:t>
      </w:r>
      <w:r>
        <w:t>mails continues to grow with a 13.6% increase compared to the same period last year.</w:t>
      </w:r>
    </w:p>
    <w:p w14:paraId="7E67BD14" w14:textId="268E6A59" w:rsidR="00CB4350" w:rsidRPr="00CB4350" w:rsidRDefault="008A3E8A" w:rsidP="002554CE">
      <w:pPr>
        <w:pStyle w:val="Heading4"/>
      </w:pPr>
      <w:r>
        <w:t>Service</w:t>
      </w:r>
      <w:r w:rsidR="00CB4350" w:rsidRPr="00CB4350">
        <w:t xml:space="preserve"> Demand</w:t>
      </w:r>
      <w:r>
        <w:t xml:space="preserve"> – Additional Contact Methods</w:t>
      </w:r>
    </w:p>
    <w:p w14:paraId="3BA5D413" w14:textId="0976C79F" w:rsidR="004F7574" w:rsidRDefault="00CB4350" w:rsidP="00CB4350">
      <w:pPr>
        <w:rPr>
          <w:rFonts w:cs="Calibri"/>
        </w:rPr>
      </w:pPr>
      <w:r w:rsidRPr="00CB4350">
        <w:rPr>
          <w:rFonts w:cs="Calibri"/>
        </w:rPr>
        <w:t>In addition to the call numbers, there have been over 247,000 additional public contacts dealt with by Contact, Command and Control (C3) Division during the reporting period. C3 Division does not only deal with incoming calls from the public. Service advisors also deal with incoming calls from other partner agencies and alarm calls. There have been over 69,000 of these types of calls for this reporting period, an increase of around 16% in emergency service partner calls and a small decrease of around 2.9% in total alarms.</w:t>
      </w:r>
    </w:p>
    <w:p w14:paraId="6CCD9F2D" w14:textId="63C5C161" w:rsidR="00CB4350" w:rsidRPr="00CB4350" w:rsidRDefault="00CB4350" w:rsidP="00CB4350">
      <w:pPr>
        <w:rPr>
          <w:rFonts w:cs="Calibri"/>
        </w:rPr>
      </w:pPr>
      <w:r w:rsidRPr="00CB4350">
        <w:rPr>
          <w:rFonts w:cs="Calibri"/>
        </w:rPr>
        <w:t xml:space="preserve">Emergency service partner calls are received via dedicated numbers from Scottish Fire and Rescue, Scottish Ambulance Service, Mountain Rescue, Coast Guard, Mental Health </w:t>
      </w:r>
      <w:r w:rsidRPr="00CB4350">
        <w:rPr>
          <w:rFonts w:cs="Calibri"/>
        </w:rPr>
        <w:lastRenderedPageBreak/>
        <w:t xml:space="preserve">Pathway (NHS 24), </w:t>
      </w:r>
      <w:proofErr w:type="spellStart"/>
      <w:r w:rsidRPr="00CB4350">
        <w:rPr>
          <w:rFonts w:cs="Calibri"/>
        </w:rPr>
        <w:t>OmniCrash</w:t>
      </w:r>
      <w:proofErr w:type="spellEnd"/>
      <w:r w:rsidRPr="00CB4350">
        <w:rPr>
          <w:rFonts w:cs="Calibri"/>
        </w:rPr>
        <w:t xml:space="preserve"> and Oil Industry Agency. The reason for such calls varies and each are dealt with by a service advisor in the most appropriate manner.</w:t>
      </w:r>
    </w:p>
    <w:p w14:paraId="27606561" w14:textId="77777777" w:rsidR="00CB4350" w:rsidRPr="00CB4350" w:rsidRDefault="00CB4350" w:rsidP="00CB4350">
      <w:pPr>
        <w:rPr>
          <w:rFonts w:cs="Calibri"/>
        </w:rPr>
      </w:pPr>
      <w:r w:rsidRPr="00CB4350">
        <w:rPr>
          <w:rFonts w:cs="Calibri"/>
        </w:rPr>
        <w:t>“Contact Us” emails and online reports, for some crime types, can be completed online. Each one of these reports is assessed by a service advisor using the Threat Harm Risk Investigation Vulnerability and Engagement (THRIVE) model. Over 147,000 “Contact Us” emails and over 8,200 online reports have been submitted since 01 April 2023.</w:t>
      </w:r>
    </w:p>
    <w:p w14:paraId="559C6AB0" w14:textId="14D395AC" w:rsidR="00E314B5" w:rsidRPr="00E314B5" w:rsidRDefault="00CB4350" w:rsidP="00E314B5">
      <w:r w:rsidRPr="00CB4350">
        <w:rPr>
          <w:rFonts w:cs="Calibri"/>
        </w:rPr>
        <w:t>Overall, additional public contacts are up by around 12.2% when compared to 2022/23.</w:t>
      </w:r>
      <w:bookmarkEnd w:id="50"/>
    </w:p>
    <w:p w14:paraId="7FDC87A0" w14:textId="43B23850" w:rsidR="003D7D01" w:rsidRPr="00DE5D94" w:rsidRDefault="008A3E8A" w:rsidP="002554CE">
      <w:pPr>
        <w:pStyle w:val="Heading4"/>
      </w:pPr>
      <w:r>
        <w:t xml:space="preserve">Service Demand - </w:t>
      </w:r>
      <w:r w:rsidR="003D7D01" w:rsidRPr="00DE5D94">
        <w:t>Weather Related Incidents</w:t>
      </w:r>
    </w:p>
    <w:p w14:paraId="4A4C0301" w14:textId="77777777" w:rsidR="003D7D01" w:rsidRPr="00DE5D94" w:rsidRDefault="003D7D01" w:rsidP="003D7D01">
      <w:pPr>
        <w:rPr>
          <w:rFonts w:cs="Calibri"/>
        </w:rPr>
      </w:pPr>
      <w:r w:rsidRPr="00DE5D94">
        <w:rPr>
          <w:rFonts w:cs="Calibri"/>
        </w:rPr>
        <w:t xml:space="preserve">C3 Division played a vital role in the management of Police Scotland’s response to severe weather related incidents across the country over the autumn and winter periods. These events require efficient command and communication on a multi-agency level. Between </w:t>
      </w:r>
      <w:r>
        <w:rPr>
          <w:rFonts w:cs="Calibri"/>
        </w:rPr>
        <w:t>0</w:t>
      </w:r>
      <w:r w:rsidRPr="00DE5D94">
        <w:rPr>
          <w:rFonts w:cs="Calibri"/>
        </w:rPr>
        <w:t xml:space="preserve">1 November 2023 and </w:t>
      </w:r>
      <w:r>
        <w:rPr>
          <w:rFonts w:cs="Calibri"/>
        </w:rPr>
        <w:t>0</w:t>
      </w:r>
      <w:r w:rsidRPr="00DE5D94">
        <w:rPr>
          <w:rFonts w:cs="Calibri"/>
        </w:rPr>
        <w:t>9 January 2024, Police Scotland worked with key partners to facilitate the rapid deployment of conventional and specialist resources to a total of 348 weather related incidents. 206 of these related to serious flooding which significantly impacted our communities. With the ability to stand up and resource Multi Agency Co-ordination Centres and Police Only Control Centres supported by a dedicated Airwave Network cell, we were able to ensure responders reached those in the greatest need quickly.</w:t>
      </w:r>
    </w:p>
    <w:p w14:paraId="78F3F2C6" w14:textId="6C8718E4" w:rsidR="00F04EAC" w:rsidRDefault="00F04EAC" w:rsidP="002554CE">
      <w:pPr>
        <w:pStyle w:val="Heading4"/>
      </w:pPr>
      <w:r>
        <w:t>C</w:t>
      </w:r>
      <w:r w:rsidR="00DE4362">
        <w:t>3 C</w:t>
      </w:r>
      <w:r>
        <w:t>omplaints</w:t>
      </w:r>
      <w:r w:rsidR="00DE4362">
        <w:t xml:space="preserve"> and Allegations</w:t>
      </w:r>
    </w:p>
    <w:p w14:paraId="7E82455F" w14:textId="7C456C28" w:rsidR="00CB4350" w:rsidRDefault="00CB4350" w:rsidP="00CB4350">
      <w:r>
        <w:t xml:space="preserve">In total, </w:t>
      </w:r>
      <w:r w:rsidR="003725E6">
        <w:t>70.1</w:t>
      </w:r>
      <w:r>
        <w:t xml:space="preserve">% of complaint cases received year-to-date for C3 Division were Frontline Resolved by the PSD National Complaints Assessment and Resolution Unit (NCARU). This rate increases to </w:t>
      </w:r>
      <w:r w:rsidR="003725E6">
        <w:t>71.9</w:t>
      </w:r>
      <w:r>
        <w:t>% when early and subsequent resolution by PSD or Specialist officers are included. These figures demonstrate that most complaints against C3 Division during this period have been non-criminal and non-serious in nature, with a majority resolved through simple explanation, apology or assurance.</w:t>
      </w:r>
    </w:p>
    <w:p w14:paraId="29A2D17F" w14:textId="27C229E9" w:rsidR="00CB4350" w:rsidRDefault="003725E6" w:rsidP="00CB4350">
      <w:r>
        <w:t>The volume of complaints against C3 Division has increased by 7.7% YTD, with a total of 224 complaints received compared to 208 in the PYTD. This is driven by an increase in the North region (38 cases, up 123.5%). Low volume decreases were however registered in the East region (67 cases, down 4.3%) and the West region (119 cases, down 1.7%)</w:t>
      </w:r>
      <w:r w:rsidR="00231043">
        <w:t>.</w:t>
      </w:r>
    </w:p>
    <w:p w14:paraId="182342CF" w14:textId="3DD62F55" w:rsidR="00231043" w:rsidRPr="00E314B5" w:rsidRDefault="00231043" w:rsidP="00CB4350">
      <w:r w:rsidRPr="00231043">
        <w:t>Incivility (127) and Service Delivery (95) remain the most common allegation types, together accounting for 72.1% of all allegations received during this period</w:t>
      </w:r>
      <w:r>
        <w:t>. Allegations of Incivility have increased by 27.0% since last year with an increase of 16 allegations noted in the North region. This is assessed as being a key factor in the North’s overall increase.</w:t>
      </w:r>
    </w:p>
    <w:p w14:paraId="27B2834B" w14:textId="77777777" w:rsidR="00F71785" w:rsidRDefault="00F71785" w:rsidP="002554CE">
      <w:pPr>
        <w:pStyle w:val="Heading4"/>
      </w:pPr>
      <w:r w:rsidRPr="003C77EC">
        <w:lastRenderedPageBreak/>
        <w:t xml:space="preserve">Hate Crime </w:t>
      </w:r>
    </w:p>
    <w:p w14:paraId="0663AD1D" w14:textId="2A2AD344" w:rsidR="00F71785" w:rsidRDefault="00CD08A4" w:rsidP="00F71785">
      <w:pPr>
        <w:rPr>
          <w:rFonts w:cs="Arial"/>
        </w:rPr>
      </w:pPr>
      <w:r>
        <w:rPr>
          <w:noProof/>
          <w:lang w:eastAsia="en-GB"/>
        </w:rPr>
        <w:drawing>
          <wp:inline distT="0" distB="0" distL="0" distR="0" wp14:anchorId="47F7A9D3" wp14:editId="3BA122BF">
            <wp:extent cx="6264000" cy="2520000"/>
            <wp:effectExtent l="0" t="0" r="3810" b="0"/>
            <wp:docPr id="416460819" name="Picture 416460819" descr="This visualisation shows Hate Incidents/Crimes compared to the previous year and last five-years.&#10;&#10;The first section (recorded YTD comparison) shows 5,601 hate incidents PYTD compared to 5,587 YTD. Down 0.2% on last year. The six month sparkline shows the highest volume of hate incidents in August (635) and lowest volume in July (565). There were 4,907 hate crimes PYTD compared to 4,931 YTD. Up 0.5% on last year. The six month sparkline shows the highest volume of hate crimes in December (633) and lowest volume in October (484).&#10;&#10;The second section (recorded five-year comparison) shows the five-year mean for hate incidents is 5,327.2 compared to 5,587 YTD. Up 4.9% on five-year mean. The five-year sparkline shows the highest volume of hate incidents in 2021/22 YTD (5,930) and lowest volume in 2019/20 YTD (4,936). The five-year mean for hate crimes is 5,081.8 compared to 4,931 YTD. Down 3.0% on five-year mean. The five-year sparkline shows the highest volume of hate crimes in 2021/22 YTD (5,429) and lowest volume in 2019/20 YTD (4,876).&#10;&#10;The third section (recorded detection rate comparison) shows the detection rate for hate crimes was 64.0% in PYTD compared to 57.4% in YTD. Down 6.6% points on last year. The five-year sparkline shows the highest detection rate in 2019/20 (70.3%) and lowest in 2023/24 (57.4%). " title="Hate Crime Visualis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38"/>
                    <a:stretch>
                      <a:fillRect/>
                    </a:stretch>
                  </pic:blipFill>
                  <pic:spPr>
                    <a:xfrm>
                      <a:off x="0" y="0"/>
                      <a:ext cx="6264000" cy="2520000"/>
                    </a:xfrm>
                    <a:prstGeom prst="rect">
                      <a:avLst/>
                    </a:prstGeom>
                  </pic:spPr>
                </pic:pic>
              </a:graphicData>
            </a:graphic>
          </wp:inline>
        </w:drawing>
      </w:r>
    </w:p>
    <w:p w14:paraId="38F4F559" w14:textId="06CB9595" w:rsidR="00F71785" w:rsidRDefault="00F71785" w:rsidP="00F71785">
      <w:pPr>
        <w:rPr>
          <w:rFonts w:cs="Arial"/>
        </w:rPr>
      </w:pPr>
      <w:r>
        <w:rPr>
          <w:rFonts w:cs="Arial"/>
        </w:rPr>
        <w:t xml:space="preserve">Hate crimes have increased marginally compared to the previous year but remain </w:t>
      </w:r>
      <w:r w:rsidRPr="00721887">
        <w:rPr>
          <w:rFonts w:cs="Arial"/>
        </w:rPr>
        <w:t>below the five</w:t>
      </w:r>
      <w:r w:rsidR="00045A86">
        <w:rPr>
          <w:rFonts w:cs="Arial"/>
        </w:rPr>
        <w:t>-</w:t>
      </w:r>
      <w:r w:rsidRPr="00721887">
        <w:rPr>
          <w:rFonts w:cs="Arial"/>
        </w:rPr>
        <w:t>year mean.</w:t>
      </w:r>
      <w:r>
        <w:rPr>
          <w:rFonts w:cs="Arial"/>
        </w:rPr>
        <w:t xml:space="preserve"> Crimes were 10.4% higher (154 more) in Q</w:t>
      </w:r>
      <w:r w:rsidR="009A7F69">
        <w:rPr>
          <w:rFonts w:cs="Arial"/>
        </w:rPr>
        <w:t xml:space="preserve">uarter </w:t>
      </w:r>
      <w:r>
        <w:rPr>
          <w:rFonts w:cs="Arial"/>
        </w:rPr>
        <w:t xml:space="preserve">3 compared to the same period last year. This is largely attributable to a high volume of crimes in December </w:t>
      </w:r>
      <w:r w:rsidR="003E62EA">
        <w:rPr>
          <w:rFonts w:cs="Arial"/>
        </w:rPr>
        <w:t>in relation</w:t>
      </w:r>
      <w:r>
        <w:rPr>
          <w:rFonts w:cs="Arial"/>
        </w:rPr>
        <w:t xml:space="preserve"> to Operation SANDBED (Safety and Security of MSPs</w:t>
      </w:r>
      <w:r w:rsidR="003E62EA">
        <w:rPr>
          <w:rFonts w:cs="Arial"/>
        </w:rPr>
        <w:t xml:space="preserve">). These </w:t>
      </w:r>
      <w:r>
        <w:rPr>
          <w:rFonts w:cs="Arial"/>
        </w:rPr>
        <w:t xml:space="preserve">crimes </w:t>
      </w:r>
      <w:r w:rsidR="003E62EA">
        <w:rPr>
          <w:rFonts w:cs="Arial"/>
        </w:rPr>
        <w:t>contributed to 403 hate crimes being</w:t>
      </w:r>
      <w:r>
        <w:rPr>
          <w:rFonts w:cs="Arial"/>
        </w:rPr>
        <w:t xml:space="preserve"> recorded in </w:t>
      </w:r>
      <w:r w:rsidR="003E62EA">
        <w:rPr>
          <w:rFonts w:cs="Arial"/>
        </w:rPr>
        <w:t>E</w:t>
      </w:r>
      <w:r w:rsidR="003216EA">
        <w:rPr>
          <w:rFonts w:cs="Arial"/>
        </w:rPr>
        <w:t>dinburgh</w:t>
      </w:r>
      <w:r>
        <w:rPr>
          <w:rFonts w:cs="Arial"/>
        </w:rPr>
        <w:t xml:space="preserve"> Division </w:t>
      </w:r>
      <w:r w:rsidR="003216EA">
        <w:rPr>
          <w:rFonts w:cs="Arial"/>
        </w:rPr>
        <w:t>in Quarter 3 compared to a five-</w:t>
      </w:r>
      <w:r w:rsidR="003E62EA">
        <w:rPr>
          <w:rFonts w:cs="Arial"/>
        </w:rPr>
        <w:t>year mean of 263.2.</w:t>
      </w:r>
    </w:p>
    <w:p w14:paraId="28751992" w14:textId="77777777" w:rsidR="00F71785" w:rsidRDefault="00F71785" w:rsidP="005772A6">
      <w:pPr>
        <w:rPr>
          <w:rFonts w:cs="Arial"/>
        </w:rPr>
      </w:pPr>
      <w:r>
        <w:rPr>
          <w:noProof/>
          <w:lang w:eastAsia="en-GB"/>
        </w:rPr>
        <w:drawing>
          <wp:inline distT="0" distB="0" distL="0" distR="0" wp14:anchorId="1EBC6A72" wp14:editId="50060D48">
            <wp:extent cx="5400000" cy="2160000"/>
            <wp:effectExtent l="0" t="0" r="0" b="0"/>
            <wp:docPr id="6" name="Picture 6" descr="This visualisation shows the number of hate crimes per division in the year to date (blue columns) compared to their five-year mean (pink line) with light blue below the respective five-year mean and dark blue above. The breakdown of hate crimes for each local policing division and their percentage increase or decrease from the five-year mean is:&#10;&#10;A Division – 130 YTD against five-year mean of 121.6, up 6.9%&#10;D Division – 85 YTD against five-year mean of 109.8, down 22.6%&#10;N Division – 31 YTD against five-year mean of 23.6, up 31.4%&#10;C Division – 114 YTD against five-year mean of 100.0, up 14.0%&#10;E Division – 403 YTD against five-year mean of 263.2, up 53.1%&#10;J Division – 128 YTD against five-year mean of 108.6, up 17.9%&#10;P Division – 67 YTD against five-year mean of 90.4, down 25.9%&#10;G Division – 350 YTD against five-year mean of 394.6, down 11.3%&#10;K Division – 61 YTD against five-year mean of 61.6, down 1.0%&#10;L Division – 50 YTD against five-year mean of 36.8, up 35.9%&#10;Q Division – 100 YTD against five-year mean of 129.0, down 22.5%&#10;U Division – 92 YTD against five-year mean of 77.4, up 18.9%&#10;V Division – 31 YTD against five-year mean of 30.2, up 2.6%&#10;" title="Hate Crime by Division Visualis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39"/>
                    <a:stretch>
                      <a:fillRect/>
                    </a:stretch>
                  </pic:blipFill>
                  <pic:spPr>
                    <a:xfrm>
                      <a:off x="0" y="0"/>
                      <a:ext cx="5400000" cy="2160000"/>
                    </a:xfrm>
                    <a:prstGeom prst="rect">
                      <a:avLst/>
                    </a:prstGeom>
                  </pic:spPr>
                </pic:pic>
              </a:graphicData>
            </a:graphic>
          </wp:inline>
        </w:drawing>
      </w:r>
    </w:p>
    <w:p w14:paraId="69FDB89D" w14:textId="751D125E" w:rsidR="0042052A" w:rsidRDefault="00F71785" w:rsidP="00F71785">
      <w:r w:rsidRPr="0050635D">
        <w:rPr>
          <w:rFonts w:cs="Arial"/>
        </w:rPr>
        <w:t>The detection rate stands at 57.4% and is 6.6% below the same period last year and 10.1% below the five</w:t>
      </w:r>
      <w:r w:rsidR="00045A86">
        <w:rPr>
          <w:rFonts w:cs="Arial"/>
        </w:rPr>
        <w:t>-</w:t>
      </w:r>
      <w:r w:rsidRPr="0050635D">
        <w:rPr>
          <w:rFonts w:cs="Arial"/>
        </w:rPr>
        <w:t xml:space="preserve">year mean. Hate </w:t>
      </w:r>
      <w:r w:rsidRPr="0050635D">
        <w:t>crimes can often take longer to detect so the previous years</w:t>
      </w:r>
      <w:r w:rsidR="003216EA">
        <w:t>'</w:t>
      </w:r>
      <w:r w:rsidRPr="0050635D">
        <w:t xml:space="preserve"> data reflect the detecti</w:t>
      </w:r>
      <w:r w:rsidR="003216EA">
        <w:t xml:space="preserve">ons made further down the line. </w:t>
      </w:r>
      <w:r w:rsidR="0042052A">
        <w:t xml:space="preserve">Over the course of the reporting year this should see the detection rate improve as more crimes </w:t>
      </w:r>
      <w:r w:rsidR="003216EA">
        <w:t>a</w:t>
      </w:r>
      <w:r w:rsidR="0042052A">
        <w:t>re detected.</w:t>
      </w:r>
    </w:p>
    <w:p w14:paraId="7A5558DC" w14:textId="64BECB08" w:rsidR="00F71785" w:rsidRPr="0050635D" w:rsidRDefault="00F71785" w:rsidP="00F71785">
      <w:pPr>
        <w:rPr>
          <w:rFonts w:ascii="Calibri" w:hAnsi="Calibri" w:cs="Calibri"/>
          <w:sz w:val="22"/>
        </w:rPr>
      </w:pPr>
      <w:r w:rsidRPr="0050635D">
        <w:t>Hate crime is being focused through regional delivery boards to ensure high level scrutiny continues as standard.</w:t>
      </w:r>
    </w:p>
    <w:p w14:paraId="02612677" w14:textId="52A87F20" w:rsidR="00F71785" w:rsidRPr="003216EA" w:rsidRDefault="00F71785" w:rsidP="00F71785">
      <w:pPr>
        <w:rPr>
          <w:rFonts w:cs="Arial"/>
        </w:rPr>
      </w:pPr>
      <w:r>
        <w:rPr>
          <w:rFonts w:cs="Arial"/>
        </w:rPr>
        <w:t xml:space="preserve">The </w:t>
      </w:r>
      <w:r w:rsidRPr="00121198">
        <w:rPr>
          <w:rFonts w:cs="Arial"/>
        </w:rPr>
        <w:t xml:space="preserve">aggravator types recording </w:t>
      </w:r>
      <w:r>
        <w:rPr>
          <w:rFonts w:cs="Arial"/>
        </w:rPr>
        <w:t>notable increases</w:t>
      </w:r>
      <w:r w:rsidRPr="00121198">
        <w:rPr>
          <w:rFonts w:cs="Arial"/>
        </w:rPr>
        <w:t xml:space="preserve"> compared to </w:t>
      </w:r>
      <w:r>
        <w:rPr>
          <w:rFonts w:cs="Arial"/>
        </w:rPr>
        <w:t>the five</w:t>
      </w:r>
      <w:r w:rsidR="00045A86">
        <w:rPr>
          <w:rFonts w:cs="Arial"/>
        </w:rPr>
        <w:t>-</w:t>
      </w:r>
      <w:r>
        <w:rPr>
          <w:rFonts w:cs="Arial"/>
        </w:rPr>
        <w:t>year mean</w:t>
      </w:r>
      <w:r w:rsidRPr="00121198">
        <w:rPr>
          <w:rFonts w:cs="Arial"/>
        </w:rPr>
        <w:t xml:space="preserve"> are Race &amp; Religion, Disability and Transgender hate crimes. This coincides with Police </w:t>
      </w:r>
      <w:r w:rsidRPr="00121198">
        <w:rPr>
          <w:rFonts w:cs="Arial"/>
        </w:rPr>
        <w:lastRenderedPageBreak/>
        <w:t>Scotland’s drive to improve reporting of this type of crime with a number of media campaigns and enhanced partnership working.</w:t>
      </w:r>
    </w:p>
    <w:p w14:paraId="67F9EF3E" w14:textId="6575E4AA" w:rsidR="00155FFB" w:rsidRPr="00155FFB" w:rsidRDefault="00155FFB" w:rsidP="00155FFB">
      <w:pPr>
        <w:rPr>
          <w:b/>
        </w:rPr>
      </w:pPr>
      <w:r w:rsidRPr="00155FFB">
        <w:rPr>
          <w:b/>
        </w:rPr>
        <w:t>Hate Crime Legislation</w:t>
      </w:r>
    </w:p>
    <w:p w14:paraId="202A0B21" w14:textId="61E3B1C6" w:rsidR="00155FFB" w:rsidRPr="0042052A" w:rsidRDefault="00155FFB" w:rsidP="00155FFB">
      <w:pPr>
        <w:rPr>
          <w:rFonts w:cs="Arial"/>
        </w:rPr>
      </w:pPr>
      <w:r w:rsidRPr="0042052A">
        <w:rPr>
          <w:rFonts w:cs="Arial"/>
        </w:rPr>
        <w:t xml:space="preserve">Mandatory training will </w:t>
      </w:r>
      <w:r w:rsidR="0042052A" w:rsidRPr="0042052A">
        <w:rPr>
          <w:rFonts w:cs="Arial"/>
        </w:rPr>
        <w:t>soon get under way</w:t>
      </w:r>
      <w:r w:rsidRPr="0042052A">
        <w:rPr>
          <w:rFonts w:cs="Arial"/>
        </w:rPr>
        <w:t xml:space="preserve"> to</w:t>
      </w:r>
      <w:r w:rsidR="00797A7A">
        <w:rPr>
          <w:rFonts w:cs="Arial"/>
        </w:rPr>
        <w:t xml:space="preserve"> </w:t>
      </w:r>
      <w:r w:rsidRPr="0042052A">
        <w:rPr>
          <w:rFonts w:cs="Arial"/>
        </w:rPr>
        <w:t>help prepare for implementation of the new Hate Crime and Public Order (Scotland) Act.</w:t>
      </w:r>
    </w:p>
    <w:p w14:paraId="13012E8C" w14:textId="2F38654E" w:rsidR="00155FFB" w:rsidRPr="0042052A" w:rsidRDefault="00155FFB" w:rsidP="00155FFB">
      <w:pPr>
        <w:rPr>
          <w:rFonts w:cs="Arial"/>
        </w:rPr>
      </w:pPr>
      <w:r w:rsidRPr="0042052A">
        <w:rPr>
          <w:rFonts w:cs="Arial"/>
        </w:rPr>
        <w:t xml:space="preserve">The Act goes live on </w:t>
      </w:r>
      <w:r w:rsidR="009A7F69">
        <w:rPr>
          <w:rFonts w:cs="Arial"/>
        </w:rPr>
        <w:t>0</w:t>
      </w:r>
      <w:r w:rsidRPr="0042052A">
        <w:rPr>
          <w:rFonts w:cs="Arial"/>
        </w:rPr>
        <w:t>1 April 2024 and will provide equal protections for all social groups. Crucially, it will send an important message to victims, offenders and wider society that hate crime will absolutely not be tolerated.</w:t>
      </w:r>
    </w:p>
    <w:p w14:paraId="13DEDF7A" w14:textId="77777777" w:rsidR="00155FFB" w:rsidRPr="0042052A" w:rsidRDefault="00155FFB" w:rsidP="00155FFB">
      <w:pPr>
        <w:rPr>
          <w:rFonts w:cs="Arial"/>
        </w:rPr>
      </w:pPr>
      <w:r w:rsidRPr="0042052A">
        <w:rPr>
          <w:rFonts w:cs="Arial"/>
        </w:rPr>
        <w:t>The key changes in the legislation are:</w:t>
      </w:r>
    </w:p>
    <w:p w14:paraId="15264016" w14:textId="77777777" w:rsidR="00155FFB" w:rsidRPr="0042052A" w:rsidRDefault="00155FFB" w:rsidP="00797A7A">
      <w:pPr>
        <w:pStyle w:val="Bullets"/>
      </w:pPr>
      <w:r w:rsidRPr="0042052A">
        <w:t>Consolidation of existing legislation into a single Act which will make identifying appropriate legislation simpler when dealing with hate crimes.</w:t>
      </w:r>
    </w:p>
    <w:p w14:paraId="67AC14CA" w14:textId="77777777" w:rsidR="00155FFB" w:rsidRPr="0042052A" w:rsidRDefault="00155FFB" w:rsidP="00797A7A">
      <w:pPr>
        <w:pStyle w:val="Bullets"/>
      </w:pPr>
      <w:r w:rsidRPr="0042052A">
        <w:t>Addition of two new Characteristics: Age and Variations in Sex Characteristics.</w:t>
      </w:r>
    </w:p>
    <w:p w14:paraId="418921B8" w14:textId="77777777" w:rsidR="00155FFB" w:rsidRPr="0042052A" w:rsidRDefault="00155FFB" w:rsidP="00797A7A">
      <w:pPr>
        <w:pStyle w:val="Bullets"/>
      </w:pPr>
      <w:r w:rsidRPr="0042052A">
        <w:t>A new crime of stirring up hatred against any of the Protected Characteristics covered by the Act.</w:t>
      </w:r>
    </w:p>
    <w:p w14:paraId="48650193" w14:textId="359FC890" w:rsidR="00155FFB" w:rsidRDefault="00155FFB" w:rsidP="00797A7A">
      <w:pPr>
        <w:pStyle w:val="Bullets"/>
      </w:pPr>
      <w:r w:rsidRPr="0042052A">
        <w:t>Abolition of the crime of Blasphemy.</w:t>
      </w:r>
    </w:p>
    <w:p w14:paraId="3E92EE25" w14:textId="7801B160" w:rsidR="0042052A" w:rsidRPr="0042052A" w:rsidRDefault="00B46EF2" w:rsidP="0042052A">
      <w:pPr>
        <w:rPr>
          <w:rFonts w:cs="Arial"/>
        </w:rPr>
      </w:pPr>
      <w:r>
        <w:t xml:space="preserve">It is anticipated that the number of hate crimes will increase due to the introduction of new legislation. </w:t>
      </w:r>
      <w:r w:rsidR="0042052A" w:rsidRPr="0042052A">
        <w:rPr>
          <w:rFonts w:cs="Arial"/>
        </w:rPr>
        <w:t xml:space="preserve">Training begins on Monday </w:t>
      </w:r>
      <w:r w:rsidR="009A7F69">
        <w:rPr>
          <w:rFonts w:cs="Arial"/>
        </w:rPr>
        <w:t>0</w:t>
      </w:r>
      <w:r w:rsidR="0042052A" w:rsidRPr="0042052A">
        <w:rPr>
          <w:rFonts w:cs="Arial"/>
        </w:rPr>
        <w:t>5</w:t>
      </w:r>
      <w:r w:rsidR="00C623F1">
        <w:rPr>
          <w:rFonts w:cs="Arial"/>
        </w:rPr>
        <w:t xml:space="preserve"> </w:t>
      </w:r>
      <w:r w:rsidR="0042052A" w:rsidRPr="0042052A">
        <w:rPr>
          <w:rFonts w:cs="Arial"/>
        </w:rPr>
        <w:t xml:space="preserve">February </w:t>
      </w:r>
      <w:r w:rsidR="003216EA">
        <w:rPr>
          <w:rFonts w:cs="Arial"/>
        </w:rPr>
        <w:t xml:space="preserve">2024 </w:t>
      </w:r>
      <w:r w:rsidR="0042052A" w:rsidRPr="0042052A">
        <w:rPr>
          <w:rFonts w:cs="Arial"/>
        </w:rPr>
        <w:t>and is mandatory for all officers up to and includin</w:t>
      </w:r>
      <w:r w:rsidR="00C623F1">
        <w:rPr>
          <w:rFonts w:cs="Arial"/>
        </w:rPr>
        <w:t>g the rank of Chief Inspector.</w:t>
      </w:r>
      <w:r w:rsidR="009803C5">
        <w:rPr>
          <w:rFonts w:cs="Arial"/>
        </w:rPr>
        <w:t xml:space="preserve"> </w:t>
      </w:r>
      <w:r w:rsidR="009803C5" w:rsidRPr="00473ADF">
        <w:rPr>
          <w:rFonts w:cs="Arial"/>
        </w:rPr>
        <w:t>To support the roll-out of the Act there are a number of workshops being made available to officers and staff. These workshops have begun and will continue through February, March and April.</w:t>
      </w:r>
    </w:p>
    <w:p w14:paraId="25C6D344" w14:textId="481A431E" w:rsidR="0042052A" w:rsidRPr="0042052A" w:rsidRDefault="0042052A" w:rsidP="0042052A">
      <w:pPr>
        <w:rPr>
          <w:rFonts w:cs="Arial"/>
        </w:rPr>
      </w:pPr>
      <w:r w:rsidRPr="0042052A">
        <w:rPr>
          <w:rFonts w:cs="Arial"/>
        </w:rPr>
        <w:t>Hate Crime Champions and Advisors are still available to offer additional support throughout the training perio</w:t>
      </w:r>
      <w:r w:rsidR="003216EA">
        <w:rPr>
          <w:rFonts w:cs="Arial"/>
        </w:rPr>
        <w:t>d and following its conclusion.</w:t>
      </w:r>
    </w:p>
    <w:p w14:paraId="57A398AA" w14:textId="0FADFD94" w:rsidR="0042052A" w:rsidRPr="0042052A" w:rsidRDefault="00C623F1" w:rsidP="0042052A">
      <w:pPr>
        <w:rPr>
          <w:rFonts w:cs="Arial"/>
        </w:rPr>
      </w:pPr>
      <w:r>
        <w:rPr>
          <w:rFonts w:cs="Arial"/>
        </w:rPr>
        <w:t xml:space="preserve">A new </w:t>
      </w:r>
      <w:r w:rsidR="0042052A" w:rsidRPr="0042052A">
        <w:rPr>
          <w:rFonts w:cs="Arial"/>
        </w:rPr>
        <w:t>dedicated intranet area has also been designed to host key information about the Act, including FAQs, links to helpful resources and a short video explaining some of the change</w:t>
      </w:r>
      <w:r>
        <w:rPr>
          <w:rFonts w:cs="Arial"/>
        </w:rPr>
        <w:t>s to protected characteristics.</w:t>
      </w:r>
    </w:p>
    <w:p w14:paraId="3063E9E9" w14:textId="502CA670" w:rsidR="005F2757" w:rsidRDefault="00BB321A" w:rsidP="002554CE">
      <w:pPr>
        <w:pStyle w:val="Heading4"/>
      </w:pPr>
      <w:r>
        <w:t>Anti-social Behaviour and Disorder</w:t>
      </w:r>
    </w:p>
    <w:p w14:paraId="0EACC0B7" w14:textId="26A95401" w:rsidR="00D91152" w:rsidRDefault="00CD08A4" w:rsidP="00C45D4B">
      <w:r>
        <w:rPr>
          <w:noProof/>
          <w:lang w:eastAsia="en-GB"/>
        </w:rPr>
        <w:drawing>
          <wp:inline distT="0" distB="0" distL="0" distR="0" wp14:anchorId="4908779D" wp14:editId="78B702CD">
            <wp:extent cx="6264000" cy="1944000"/>
            <wp:effectExtent l="0" t="0" r="3810" b="0"/>
            <wp:docPr id="416460820" name="Picture 416460820" descr="This visualisation shows antisocial behaviour incidents and complaints regarding disorder at the end of quarter 3 compared to the previous year and last five-years.&#10;&#10;The first section (recorded YTD comparison) shows 214,378 antisocial behaviour incidents PYTD compared to 210,781 YTD. Down 1.7% on last year. The six month sparkline shows the highest volume of antisocial behaviour incidents in August (24,908) and lowest volume in December (19,916). There were 150,582 complaints regarding disorder PYTD compared to 148,692 YTD. Down 1.3% on last year. The six month sparkline shows the highest volume of complaints regarding disorder in August (17,646) and lowest volume in November (14,046).&#10;&#10;The second section (recorded five-year comparison) shows the five-year mean for antisocial behaviour incidents is 260,172.2 compared to 210,781 YTD. Down 19.0% on five-year mean. The five-year sparkline shows the highest volume of antisocial behaviour incidents in 2020/21 YTD (325,519) and lowest volume in 2023/24 YTD (210,781). The five-year mean for complaints regarding disorder is 188,345.8 compared to 148,692 YTD. Down 21.1% on five-year mean. The five-year sparkline shows the highest volume of complaints regarding disorder in 2020/21 YTD (245,748) and lowest volume in 2023/24 YTD (148,692)." title="ASB/Disorder Visualis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264000" cy="1944000"/>
                    </a:xfrm>
                    <a:prstGeom prst="rect">
                      <a:avLst/>
                    </a:prstGeom>
                  </pic:spPr>
                </pic:pic>
              </a:graphicData>
            </a:graphic>
          </wp:inline>
        </w:drawing>
      </w:r>
    </w:p>
    <w:p w14:paraId="76F6F186" w14:textId="7C2DF230" w:rsidR="003B14A0" w:rsidRDefault="0020221E" w:rsidP="00C45D4B">
      <w:r>
        <w:lastRenderedPageBreak/>
        <w:t>Both anti-social Behaviour incidents and complaints regarding disorder continue to be down significantly on the five-year mean due to the impact of COVID-19 related lockdowns in 2020/21 and 2021/22. Compared to last year there has only been a slight decrease for both ASB and disorder. ASB related fixed penalty notices have also decreased compared to last year as per the update</w:t>
      </w:r>
      <w:r w:rsidR="0034007A">
        <w:t xml:space="preserve"> </w:t>
      </w:r>
      <w:hyperlink w:anchor="_Police_Direct_Measures" w:history="1">
        <w:r w:rsidR="00045A86">
          <w:rPr>
            <w:rStyle w:val="Hyperlink"/>
          </w:rPr>
          <w:t>Police Direct Measures</w:t>
        </w:r>
      </w:hyperlink>
      <w:r>
        <w:t>.</w:t>
      </w:r>
    </w:p>
    <w:p w14:paraId="44830A38" w14:textId="0E0BE1E7" w:rsidR="003F287F" w:rsidRDefault="003F287F" w:rsidP="003F287F">
      <w:r>
        <w:t>Partnership, Prevention and Community Wellbeing are currently conducting a review of Police Scotland’s approach to Anti-Social Behaviour, a subject which is consistently prevalent in the media. The Scottish Government plan to set up an Advisory Group to progress a partnership approach to Anti-social behaviour which Police Scotland will take part in.</w:t>
      </w:r>
    </w:p>
    <w:p w14:paraId="722BED98" w14:textId="448E6934" w:rsidR="003F287F" w:rsidRDefault="003F287F" w:rsidP="003F287F">
      <w:r w:rsidRPr="001C5C13">
        <w:t>The evaluation report</w:t>
      </w:r>
      <w:r>
        <w:t xml:space="preserve"> for the “It’ll cost you” Proxy Purchase campaign</w:t>
      </w:r>
      <w:r w:rsidRPr="001C5C13">
        <w:t xml:space="preserve"> has been completed and is due to be published </w:t>
      </w:r>
      <w:r>
        <w:t>during Quarter 4</w:t>
      </w:r>
      <w:r w:rsidRPr="001C5C13">
        <w:t xml:space="preserve">. There were 18 reports submitted to </w:t>
      </w:r>
      <w:r w:rsidR="007711D8">
        <w:t xml:space="preserve">COPFS </w:t>
      </w:r>
      <w:r w:rsidRPr="001C5C13">
        <w:t>relating to the supply of alcohol to youths.</w:t>
      </w:r>
    </w:p>
    <w:p w14:paraId="1A46C599" w14:textId="77777777" w:rsidR="003F287F" w:rsidRDefault="003F287F" w:rsidP="003F287F">
      <w:r w:rsidRPr="003B14A0">
        <w:t>The Fireworks and Pyrotechnic Articles (Scotland) Act 2022 continues to be introduced in stages throughout 2022-24.</w:t>
      </w:r>
      <w:r>
        <w:t xml:space="preserve"> PPCW attend the SLWG, chaired by SG, to consider the specific implementation of firework control zones. Legislation around the Fireworks Control Zones has been enacted. Discussions continue to ensure the necessary processes for Firework Control Zones are in place by November 2024.</w:t>
      </w:r>
    </w:p>
    <w:p w14:paraId="2CFDF88B" w14:textId="4435E978" w:rsidR="00822BC4" w:rsidRDefault="00822BC4" w:rsidP="002554CE">
      <w:pPr>
        <w:pStyle w:val="Heading4"/>
      </w:pPr>
      <w:r>
        <w:lastRenderedPageBreak/>
        <w:t>Acquisitive Crime</w:t>
      </w:r>
    </w:p>
    <w:p w14:paraId="3D78F0A9" w14:textId="72EB046B" w:rsidR="00E6590D" w:rsidRDefault="00CD08A4" w:rsidP="00E314B5">
      <w:r>
        <w:rPr>
          <w:noProof/>
          <w:lang w:eastAsia="en-GB"/>
        </w:rPr>
        <w:drawing>
          <wp:inline distT="0" distB="0" distL="0" distR="0" wp14:anchorId="3D1569F8" wp14:editId="0471CE20">
            <wp:extent cx="6264000" cy="4680000"/>
            <wp:effectExtent l="0" t="0" r="3810" b="6350"/>
            <wp:docPr id="416460821" name="Picture 416460821" descr="This visualisation shows Group 3 acquisitive crime, housebreakings, motor vehicle crime and theft by shoplifting at the end of quarter 3 compared to the previous year and last five-years.&#10;&#10;The first section (recorded YTD comparison) shows 76,334 group 3 acquisitive crimes PYTD compared to 85,671 YTD. Up 12.2% on last year. The six month sparkline shows the highest volume of group 3 acquisitive crimes in October (10,195) and lowest volume in December (9,206). There were 6,424 housebreaking crimes PYTD compared to 6,962 YTD. Up 8.4% on last year. The six month sparkline shows the highest volume of housebreaking crimes in August (866) and lowest volume in November (743). There were 8,608 motor vehicle crimes PYTD compared to 9,092 YTD. Up 5.6% on last year. The six month sparkline shows the highest volume of motor vehicle crimes in September (1,156) and lowest volume in November (900). There were 20,675 shoplifting crimes PYTD compared to 28,863 YTD. Up 39.6% on last year. The six month sparkline shows the highest volume of shoplifting crimes in October (3,561) and lowest volume in December (2,970).&#10;&#10;The second section (recorded five-year comparison) shows the five-year mean for group 3 acquisitive crime is 76,485.8 compared to 85,671 YTD. Up 12.0% on five-year mean. The five-year sparkline shows the highest volume of group 3 acquisitive crimes in 2023/24 YTD (85,671) and lowest volume in 2020/21 YTD (68,423). The five-year mean for housebreaking crimes is 8,078.2 compared to 6,962 YTD. Down 13.8% on five-year mean. The five-year sparkline shows the highest volume of housebreaking crimes in 2019/20 YTD (9,525) and lowest volume in 2021/22 YTD (6,396). The five-year mean for motor vehicle crimes is 9,182.6 compared to 9,092 YTD. Down 1.0% on five-year mean. The five-year sparkline shows the highest volume of motor vehicle crimes in 2019/20 YTD (10,146) and lowest volume in 2021/22 YTD (7,876). The five-year mean for shoplifting crimes is 20,492.0 compared to 28,863 YTD. Up 40.9% on five-year mean. The five-year sparkline shows the highest volume of motor vehicle crimes in 2023/24 YTD (28,863) and lowest volume in 2020/21 YTD (16,109).&#10;&#10;The third section (recorded detection rate comparison) shows the detection rate for group 3 acquisitive crimes was 31.4% in PYTD compared to 32.1% in YTD. Up 0.7% points on last year. The five-year sparkline shows the highest detection rate in 2020/21 (39.6%) and lowest in 2022/23 (31.4%). The detection rate for housebreaking crimes was 25.9% in PYTD compared to 27.2% in YTD. Up 1.3% points on last year. The five-year sparkline shows the highest detection rate in 2020/21 (30.8%) and lowest in 2022/23 (25.9%). The detection rate for motor vehicle crimes was 26.8% in PYTD compared to 29.3% in YTD. Up 2.5% points on last year. The five-year sparkline shows the highest detection rate in 2020/21 (38.0%) and lowest in 2019/20 (25.3%). The detection rate for shoplifting crimes was 55.1% in PYTD compared to 50.3% in YTD. Down 4.8% points on last year. The five-year sparkline shows the highest detection rate in 2020/21 (67.5%) and lowest in 2023/24 (50.3%)." title="Acquisitive Crime Visualis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41"/>
                    <a:stretch>
                      <a:fillRect/>
                    </a:stretch>
                  </pic:blipFill>
                  <pic:spPr>
                    <a:xfrm>
                      <a:off x="0" y="0"/>
                      <a:ext cx="6264000" cy="4680000"/>
                    </a:xfrm>
                    <a:prstGeom prst="rect">
                      <a:avLst/>
                    </a:prstGeom>
                  </pic:spPr>
                </pic:pic>
              </a:graphicData>
            </a:graphic>
          </wp:inline>
        </w:drawing>
      </w:r>
    </w:p>
    <w:p w14:paraId="5671246C" w14:textId="4EE4FAC1" w:rsidR="00B002A2" w:rsidRDefault="00B002A2" w:rsidP="00B002A2">
      <w:r>
        <w:t>Acquisitive crime has continued to increase compared to the same period last year and is now 12.0% higher than the five-year mean, it should be noted however that the five-year mean has been affected significantly by decreases in acquisitive crime during the COVID-19 pandemic. Between April and December 2023 there have been 9,337 more crimes compared to the same period the previous year, and 9,185 more than the five-year mean.</w:t>
      </w:r>
    </w:p>
    <w:p w14:paraId="4D8F1535" w14:textId="77777777" w:rsidR="00B002A2" w:rsidRDefault="00B002A2" w:rsidP="00B002A2">
      <w:r>
        <w:t>If fraud is excluded, Group 3 crimes have still risen by 13.8% (8,802 more crimes). Shoplifting crimes continues to be the main contributor to this increase from the previous year, increasing by 8,188 crimes. Increases have also been seen in domestic housebreaking (up 298 crimes) and motor vehicle thefts (up 227 crimes).</w:t>
      </w:r>
    </w:p>
    <w:p w14:paraId="417A15B7" w14:textId="207D9D2F" w:rsidR="00E314B5" w:rsidRDefault="00B002A2" w:rsidP="00E314B5">
      <w:r>
        <w:t>Despite the overall increase, some aspects of acquisitive crimes have continued to fall compared to the same period last year. Common theft crimes have reduced from 21,604 to 21,261 (343 fewer crimes), and theft of pedal cycles have reduced from 3,146 to 2,852 (294 fewer crimes).</w:t>
      </w:r>
    </w:p>
    <w:tbl>
      <w:tblPr>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CE7215" w:rsidRPr="00CE7215" w14:paraId="48C90188" w14:textId="77777777" w:rsidTr="00001D01">
        <w:trPr>
          <w:trHeight w:val="680"/>
        </w:trPr>
        <w:tc>
          <w:tcPr>
            <w:tcW w:w="9862" w:type="dxa"/>
            <w:shd w:val="clear" w:color="auto" w:fill="FFE599" w:themeFill="accent4" w:themeFillTint="66"/>
            <w:vAlign w:val="center"/>
            <w:hideMark/>
          </w:tcPr>
          <w:p w14:paraId="08734274" w14:textId="20B00530" w:rsidR="00CE7215" w:rsidRPr="00CE7215" w:rsidRDefault="00CE7215" w:rsidP="00CE7215">
            <w:pPr>
              <w:pStyle w:val="TableHeaderLeft"/>
            </w:pPr>
            <w:r w:rsidRPr="00CE7215">
              <w:lastRenderedPageBreak/>
              <w:t>Proactive/Preventative Policing – Tackling Acquisitive Crime</w:t>
            </w:r>
          </w:p>
        </w:tc>
      </w:tr>
      <w:tr w:rsidR="00CE7215" w:rsidRPr="00CE7215" w14:paraId="2D65B27C" w14:textId="77777777" w:rsidTr="005C7704">
        <w:trPr>
          <w:trHeight w:val="680"/>
        </w:trPr>
        <w:tc>
          <w:tcPr>
            <w:tcW w:w="9862" w:type="dxa"/>
            <w:shd w:val="clear" w:color="auto" w:fill="FFF2CC" w:themeFill="accent4" w:themeFillTint="33"/>
            <w:vAlign w:val="center"/>
            <w:hideMark/>
          </w:tcPr>
          <w:p w14:paraId="5E175120" w14:textId="77777777" w:rsidR="00001D01" w:rsidRDefault="00001D01" w:rsidP="00001D01">
            <w:pPr>
              <w:pStyle w:val="TableBodyLeft"/>
            </w:pPr>
            <w:r>
              <w:t>A streamlining of the internal reporting structure and sharing of information across Police Scotland divisions and departments is now in place for acquisitive crime to provide both a national picture and cross-divisional sharing of organised crime groups, prolific offenders and emerging crime trends.</w:t>
            </w:r>
          </w:p>
          <w:p w14:paraId="3F901204" w14:textId="77777777" w:rsidR="00001D01" w:rsidRDefault="00001D01" w:rsidP="00001D01">
            <w:pPr>
              <w:pStyle w:val="TableBodyLeft"/>
            </w:pPr>
            <w:r>
              <w:t>The National Acquisitive Crime Group provides a tactical approach regarding organised criminals and prolific offenders. The audience at this meeting includes key external partners RAC, HMRC, BTP, TSS and SCOTSS along with the regional crime representatives, all with a focus on addressing acquisitive crime.</w:t>
            </w:r>
          </w:p>
          <w:p w14:paraId="150FF1AE" w14:textId="77777777" w:rsidR="00001D01" w:rsidRDefault="00001D01" w:rsidP="00001D01">
            <w:pPr>
              <w:pStyle w:val="TableBodyLeft"/>
            </w:pPr>
            <w:r>
              <w:t>Members of the Scottish Retail Consortium were briefed by Police Scotland in November 2023 on the challenges around retail crime and the work being done within policing to tackle this crime type.</w:t>
            </w:r>
          </w:p>
          <w:p w14:paraId="1FB76BF7" w14:textId="77777777" w:rsidR="00001D01" w:rsidRDefault="00001D01" w:rsidP="00001D01">
            <w:pPr>
              <w:pStyle w:val="TableBodyLeft"/>
            </w:pPr>
            <w:r>
              <w:t>Police Scotland support all types of business to become as resilient as possible against the varying forms of criminality. In terms of retail crime, officers are specifically dedicated to working directly with the sector providing targeted crime prevention advice through Architecture Liaison and the latest intelligence to track prolific offenders.</w:t>
            </w:r>
          </w:p>
          <w:p w14:paraId="5AB5AEB5" w14:textId="77777777" w:rsidR="00001D01" w:rsidRDefault="00001D01" w:rsidP="00001D01">
            <w:pPr>
              <w:pStyle w:val="TableBodyLeft"/>
            </w:pPr>
            <w:r>
              <w:t>Business engagement days with retailers resulted in 1,836 retail businesses being visited in 65 areas across Scotland with over 4,500 people given direct crime prevention advice.</w:t>
            </w:r>
          </w:p>
          <w:p w14:paraId="624C8A62" w14:textId="2E788242" w:rsidR="00CE7215" w:rsidRPr="00CE7215" w:rsidRDefault="00001D01" w:rsidP="00001D01">
            <w:pPr>
              <w:pStyle w:val="TableBodyLeft"/>
            </w:pPr>
            <w:r>
              <w:t>Police Scotland also recognise the importance of understanding the root causes of the issues in order to positively impact on improving outcomes. What we are seeing is retail crime ranging from serious and organised criminal gangs, addiction related thefts, through to thefts by people effected by cost of living, who may not ordinarily commit crime. Given the complexity we recognise that partnerships are key and that a “whole community response” is essential.</w:t>
            </w:r>
          </w:p>
        </w:tc>
      </w:tr>
    </w:tbl>
    <w:p w14:paraId="309C0717" w14:textId="2588A8B2" w:rsidR="002C7CDD" w:rsidRPr="002C7CDD" w:rsidRDefault="002C7CDD" w:rsidP="002554CE">
      <w:pPr>
        <w:pStyle w:val="Heading4"/>
      </w:pPr>
      <w:r w:rsidRPr="002C7CDD">
        <w:t xml:space="preserve">Key </w:t>
      </w:r>
      <w:r w:rsidR="0092734A">
        <w:t>Exception</w:t>
      </w:r>
      <w:r w:rsidRPr="002C7CDD">
        <w:t>: Acquisitive Crime Repeat Offenders</w:t>
      </w:r>
    </w:p>
    <w:p w14:paraId="4873977E" w14:textId="0D6C30B5" w:rsidR="002C7CDD" w:rsidRDefault="00132752" w:rsidP="00132752">
      <w:r>
        <w:rPr>
          <w:noProof/>
          <w:lang w:eastAsia="en-GB"/>
        </w:rPr>
        <w:drawing>
          <wp:inline distT="0" distB="0" distL="0" distR="0" wp14:anchorId="1535190C" wp14:editId="2AF05EBC">
            <wp:extent cx="5400000" cy="2160000"/>
            <wp:effectExtent l="0" t="0" r="0" b="0"/>
            <wp:docPr id="2" name="Picture 2" descr="This visualisation shows the percentages of repeat offenders across four acquisitive crimes types in the YTD with repeat offending up in all four compared to the PYTD.&#10;&#10;Total Group 3 crime noted a reoffending rate of 34.9% in YTD compared to 33.0% in the PYTD (up 1.9% points).&#10;Housebreakings (incl. attempts) – dwelling house noted a reoffending rate of 18.0% YTD compared to 15.5% PYTD (up 2.5% points).&#10;Shoplifting noted a reoffending rate of 38.5% YTD compared to 37.0% PYTD (up 1.5% points).&#10;Theft of Motor Vehicle noted a reoffending rate of 13.7% YTD compared to 13.0% PYTD (up 0.7% points).&#10;" title="Acquisitive Crime Repeat Offenders Visualis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42"/>
                    <a:stretch>
                      <a:fillRect/>
                    </a:stretch>
                  </pic:blipFill>
                  <pic:spPr>
                    <a:xfrm>
                      <a:off x="0" y="0"/>
                      <a:ext cx="5400000" cy="2160000"/>
                    </a:xfrm>
                    <a:prstGeom prst="rect">
                      <a:avLst/>
                    </a:prstGeom>
                  </pic:spPr>
                </pic:pic>
              </a:graphicData>
            </a:graphic>
          </wp:inline>
        </w:drawing>
      </w:r>
    </w:p>
    <w:p w14:paraId="0DAF9674" w14:textId="63257059" w:rsidR="002C7CDD" w:rsidRDefault="002C7CDD" w:rsidP="00E314B5">
      <w:r>
        <w:lastRenderedPageBreak/>
        <w:t xml:space="preserve">In total 34.9% of offenders have committed more than one Group 3 Acquisitive crime in the current FYTD, which is an increase of 1.9 percentage points compared to the same period last year. Housebreaking repeat offenders (those who have committed more than one housebreaking crime) has seen a small decrease of 0.6 percentage points compared to the previous year, whilst motor vehicle repeat offenders have decreased by 2.2 percentage points. Theft by shoplifting, which accounts for the highest volume of crimes in the acquisitive crime group, </w:t>
      </w:r>
      <w:r w:rsidR="00142528">
        <w:t xml:space="preserve">shows that 38.5% of offenders have committed more than one crime of shoplifting in the current </w:t>
      </w:r>
      <w:r w:rsidR="00E64375">
        <w:t>F</w:t>
      </w:r>
      <w:r w:rsidR="00142528">
        <w:t>YTD period, an increase of 1.5 percentage points compared to the last year.</w:t>
      </w:r>
    </w:p>
    <w:p w14:paraId="3B140A4C" w14:textId="0104B4B4" w:rsidR="001C7D4C" w:rsidRDefault="00D16395" w:rsidP="00E314B5">
      <w:r>
        <w:rPr>
          <w:noProof/>
          <w:lang w:eastAsia="en-GB"/>
        </w:rPr>
        <w:drawing>
          <wp:inline distT="0" distB="0" distL="0" distR="0" wp14:anchorId="2C98426E" wp14:editId="14FAD881">
            <wp:extent cx="5400000" cy="2160000"/>
            <wp:effectExtent l="0" t="0" r="0" b="0"/>
            <wp:docPr id="240316426" name="Picture 240316426" descr="This visualisation shows the percentage of repeat offenders across three acquisitive crimes types per division in the year to date with the following key: Housebreaking (incl. attempts) – dwelling house in light blue, Theft of a motor vehicle in dark blue and shoplifting in orange. The breakdown of repeat offending rates for each local policing division is:&#10;&#10;A Division – 25.0% housebreakings, 19.4% theft of a motor vehicle and 42.5% shoplifting;&#10;D Division – 34.7% housebreakings, 26.8% theft of a motor vehicle and 49.0% shoplifting;&#10;N Division – 8.7% housebreakings, 7.6% theft of a motor vehicle and 40.7% shoplifting;&#10;C Division – 16.3% housebreakings, 12.9% theft of a motor vehicle and 51.2% shoplifting;&#10;E Division – 29.3% housebreakings, 9.2% theft of a motor vehicle and 39.8% shoplifting;&#10;J Division – 20.5% housebreakings, 7.9% theft of a motor vehicle and 40.3% shoplifting;&#10;P Division – 28.6% housebreakings, 18.1% theft of a motor vehicle and 51.6% shoplifting;&#10;G Division – 14.9% housebreakings, 10.2% theft of a motor vehicle and 31.4% shoplifting;&#10;U Division – 13.6% housebreakings, 6.1% theft of a motor vehicle and 44.3% shoplifting;&#10;Q Division – 20.2% housebreakings, 12.8% theft of a motor vehicle and 41.7% shoplifting;&#10;L Division – 0.0% housebreakings, 15.2% theft of a motor vehicle and 40.1% shoplifting;&#10;K Division – 10.3% housebreakings, 17.9% theft of a motor vehicle and 35.7% shoplifting;&#10;V Division – 0.0% housebreakings, 20.0% theft of a motor vehicle and 23.4% shoplifting." title="Acquisitive Crime Repeat Offenders by Division Visualis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0000" cy="2160000"/>
                    </a:xfrm>
                    <a:prstGeom prst="rect">
                      <a:avLst/>
                    </a:prstGeom>
                    <a:noFill/>
                  </pic:spPr>
                </pic:pic>
              </a:graphicData>
            </a:graphic>
          </wp:inline>
        </w:drawing>
      </w:r>
    </w:p>
    <w:p w14:paraId="69F33592" w14:textId="19946569" w:rsidR="007B667E" w:rsidRDefault="007B667E" w:rsidP="00E314B5">
      <w:r>
        <w:t>The above graph shows the percentage of repeat offenders for select acquisitive crimes in the 2023/24 period to date. It should be noted that in some divisions a high percentage can relate to a small number of repeat offenders. Those divisions where there are no repeat offenders for a crime are not represented on the graph.</w:t>
      </w:r>
    </w:p>
    <w:p w14:paraId="6AE1252C" w14:textId="77777777" w:rsidR="00C629AC" w:rsidRDefault="00C629AC" w:rsidP="002554CE">
      <w:pPr>
        <w:pStyle w:val="Heading4"/>
      </w:pPr>
      <w:r>
        <w:t>Shoplifting</w:t>
      </w:r>
    </w:p>
    <w:p w14:paraId="17B816A3" w14:textId="43484030" w:rsidR="00E314B5" w:rsidRPr="00E314B5" w:rsidRDefault="00B002A2" w:rsidP="00E314B5">
      <w:r w:rsidRPr="00B002A2">
        <w:t>Shoplifting crimes have continued rising and are now at higher levels than those seen pre-pandemic and are higher than the five-year mean. Between April and December 2023 there have been 28,863 crimes, 39.6% (8,188 crimes) more than the same period last year and 40.9% (8,371 crimes) higher than the five-year mean. This increase has seen shoplifting crimes rise to above those seen pre-pandemic, with 5,174 more crimes than during the same period in 2019.</w:t>
      </w:r>
    </w:p>
    <w:p w14:paraId="14D40B0D" w14:textId="77777777" w:rsidR="00C629AC" w:rsidRDefault="00C629AC" w:rsidP="002554CE">
      <w:pPr>
        <w:pStyle w:val="Heading4"/>
      </w:pPr>
      <w:r>
        <w:t>Housebreaking</w:t>
      </w:r>
    </w:p>
    <w:p w14:paraId="264872F4" w14:textId="0EBDE479" w:rsidR="00B002A2" w:rsidRDefault="00B002A2" w:rsidP="00B002A2">
      <w:r>
        <w:t>Housebreaking has experienced an increase year</w:t>
      </w:r>
      <w:r w:rsidR="008A18A5">
        <w:t>-</w:t>
      </w:r>
      <w:r>
        <w:t>to</w:t>
      </w:r>
      <w:r w:rsidR="008A18A5">
        <w:t>-</w:t>
      </w:r>
      <w:r>
        <w:t>date of 8.9% (298 crimes) compared to last year. Over the period there has been a total of 6,962 housebreaking crimes. Despite this year-to-date increase, housebreaking is 13.8% lower than the five-year mean and 26.9% lower than levels seen pre-pandemic (2019/20).</w:t>
      </w:r>
    </w:p>
    <w:p w14:paraId="446EBE3A" w14:textId="77777777" w:rsidR="00B002A2" w:rsidRDefault="00B002A2" w:rsidP="00B002A2">
      <w:r>
        <w:t>Increases can be seen in each area of housebreaking with domestic housebreakings rising by 298 crimes, non-dwelling domestic housebreakings rising by 186 crimes and commercial housebreakings rising by 54 crimes compared to 2022/23.</w:t>
      </w:r>
    </w:p>
    <w:p w14:paraId="67848AC3" w14:textId="77777777" w:rsidR="00B002A2" w:rsidRDefault="00B002A2" w:rsidP="00B002A2">
      <w:r>
        <w:lastRenderedPageBreak/>
        <w:t>Domestic housebreakings are now 8.9% higher than the same period last year. Between April and December 2023, 3,665 domestic housebreaking crimes were recorded, compared to 3,367 crimes last year and the five-year mean of 4,090 crimes. Domestic housebreaking remains at a much lower level than pre-pandemic, there has been 1,256 fewer crimes in 2023/24 than over the same period in 2019/20.</w:t>
      </w:r>
    </w:p>
    <w:p w14:paraId="62CC56EB" w14:textId="77777777" w:rsidR="00B002A2" w:rsidRDefault="00B002A2" w:rsidP="00B002A2">
      <w:r>
        <w:t>Non-dwelling domestic housebreakings are 14.0% higher than last year, increasing from 1,324 in 2022/23 to 1,510 in 2023/24.</w:t>
      </w:r>
    </w:p>
    <w:p w14:paraId="08358A33" w14:textId="327842C5" w:rsidR="00C629AC" w:rsidRDefault="00B002A2" w:rsidP="001136E9">
      <w:r>
        <w:t>Commercial housebreakings have also experienced an increase, rising 3.1% YTD, with 1,787 crimes recorded between April and December 2023, up 54 crimes on the same period this year.</w:t>
      </w:r>
    </w:p>
    <w:p w14:paraId="09038A57" w14:textId="77777777" w:rsidR="00C629AC" w:rsidRDefault="00C629AC" w:rsidP="002554CE">
      <w:pPr>
        <w:pStyle w:val="Heading4"/>
      </w:pPr>
      <w:r>
        <w:t>Vehicle Crime</w:t>
      </w:r>
    </w:p>
    <w:p w14:paraId="727DEA36" w14:textId="04885E84" w:rsidR="00B002A2" w:rsidRDefault="00B002A2" w:rsidP="00B002A2">
      <w:r>
        <w:t xml:space="preserve">Between April and December 2023 there has been 9,092 crimes, 5.6% (484 crimes) more than the same period last year and 1.0% (91 crimes) less than the five-year mean. This year-to-date increase has been due to rises in thefts of motor vehicles (227 more crimes), opening </w:t>
      </w:r>
      <w:r w:rsidR="0030574F">
        <w:t>lock fast</w:t>
      </w:r>
      <w:r>
        <w:t xml:space="preserve"> place – motor vehicle (207 more crimes) and attempted theft of a motor vehicle (51 more crimes).</w:t>
      </w:r>
    </w:p>
    <w:p w14:paraId="5560DD0F" w14:textId="638F19AB" w:rsidR="00E314B5" w:rsidRPr="00E314B5" w:rsidRDefault="00B002A2" w:rsidP="00E314B5">
      <w:r>
        <w:t>Detections over the period have increased from 2,311 to 2,644 compared to the same period last year which has had an impact in the detection rate. The rate is 29.3%, 2.5 percentage points higher than the same period last year and 0.4 percentage points above the five-year mean.</w:t>
      </w:r>
    </w:p>
    <w:p w14:paraId="0AC09ABF" w14:textId="6AA3F6CE" w:rsidR="001136E9" w:rsidRDefault="000448A1" w:rsidP="002554CE">
      <w:pPr>
        <w:pStyle w:val="Heading4"/>
      </w:pPr>
      <w:r w:rsidRPr="001136E9">
        <w:t>Fraud</w:t>
      </w:r>
    </w:p>
    <w:p w14:paraId="597F98EF" w14:textId="0E362645" w:rsidR="00E6590D" w:rsidRDefault="00CD08A4" w:rsidP="00E314B5">
      <w:r>
        <w:rPr>
          <w:noProof/>
          <w:lang w:eastAsia="en-GB"/>
        </w:rPr>
        <w:drawing>
          <wp:inline distT="0" distB="0" distL="0" distR="0" wp14:anchorId="4E66D10C" wp14:editId="3E1A3655">
            <wp:extent cx="6264000" cy="1980000"/>
            <wp:effectExtent l="0" t="0" r="3810" b="1270"/>
            <wp:docPr id="416460823" name="Picture 416460823" descr="This visualisation shows crimes of fraud at the end of quarter 3 compared to the previous year and last five-years. &#10;&#10;The first section (recorded YTD comparison) shows 12,371 crimes of fraud PYTD compared to 12,906 YTD. Up 4.3% on last year. The six month sparkline shows the highest volume of fraud in November (1,530) and lowest volume in September (1,391).&#10;&#10;The second section (recorded five-year comparison) shows the five-year mean for crimes of fraud is 9,629.8 compared to 12,906 YTD. Up 34.0% on five-year mean. The five-year sparkline shows the highest volume of fraud in 2023/24 YTD (12,906) and lowest volume in 2019/20 YTD (7,767).&#10;&#10;The third sections (recorded detection rate comparison) shows the detection rate for crimes of fraud was 16.5% in PYTD compared to 15.6% in YTD. Down 0.9% points on last year. The five-year sparkline shows the highest detection rate in 2019/20 (31.3%) and lowest in 2023/24 (15.6%)." title="Fraud Visualis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44"/>
                    <a:stretch>
                      <a:fillRect/>
                    </a:stretch>
                  </pic:blipFill>
                  <pic:spPr>
                    <a:xfrm>
                      <a:off x="0" y="0"/>
                      <a:ext cx="6264000" cy="1980000"/>
                    </a:xfrm>
                    <a:prstGeom prst="rect">
                      <a:avLst/>
                    </a:prstGeom>
                  </pic:spPr>
                </pic:pic>
              </a:graphicData>
            </a:graphic>
          </wp:inline>
        </w:drawing>
      </w:r>
    </w:p>
    <w:p w14:paraId="55BD36D1" w14:textId="77777777" w:rsidR="00797A7A" w:rsidRDefault="00B002A2" w:rsidP="00183BD6">
      <w:r w:rsidRPr="00B002A2">
        <w:t>Fraud crimes have continued to rise, increasing 4.3% compared to the same period last year and 34.0% from the five-year mean. Fraud remains a significant global issue which is recognised as the most prominent crime type within the UK. Within Police Scotland we continue to see increases in reported fraud and, coupled with limited resource locally to investigative fraud, our detection rate is falling.</w:t>
      </w:r>
      <w:bookmarkStart w:id="52" w:name="_Hlk157688678"/>
    </w:p>
    <w:tbl>
      <w:tblPr>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001D01" w:rsidRPr="00CE7215" w14:paraId="715423EC" w14:textId="77777777" w:rsidTr="00001D01">
        <w:trPr>
          <w:trHeight w:val="680"/>
        </w:trPr>
        <w:tc>
          <w:tcPr>
            <w:tcW w:w="9862" w:type="dxa"/>
            <w:shd w:val="clear" w:color="auto" w:fill="FFE599" w:themeFill="accent4" w:themeFillTint="66"/>
            <w:vAlign w:val="center"/>
            <w:hideMark/>
          </w:tcPr>
          <w:p w14:paraId="25D4D74B" w14:textId="7F7EE614" w:rsidR="00001D01" w:rsidRPr="00CE7215" w:rsidRDefault="00001D01" w:rsidP="00001D01">
            <w:pPr>
              <w:pStyle w:val="TableHeaderLeft"/>
            </w:pPr>
            <w:r w:rsidRPr="00001D01">
              <w:lastRenderedPageBreak/>
              <w:t>Proactive/Preventative Policing - Preventing Fraud in the East of Scotland</w:t>
            </w:r>
          </w:p>
        </w:tc>
      </w:tr>
      <w:tr w:rsidR="00001D01" w:rsidRPr="00CE7215" w14:paraId="10266B65" w14:textId="77777777" w:rsidTr="005C7704">
        <w:trPr>
          <w:trHeight w:val="680"/>
        </w:trPr>
        <w:tc>
          <w:tcPr>
            <w:tcW w:w="9862" w:type="dxa"/>
            <w:shd w:val="clear" w:color="auto" w:fill="FFF2CC" w:themeFill="accent4" w:themeFillTint="33"/>
            <w:vAlign w:val="center"/>
            <w:hideMark/>
          </w:tcPr>
          <w:p w14:paraId="6C5DB74F" w14:textId="6F34FE16" w:rsidR="00001D01" w:rsidRDefault="00001D01" w:rsidP="00001D01">
            <w:pPr>
              <w:pStyle w:val="TableBodyLeft"/>
            </w:pPr>
            <w:r>
              <w:t xml:space="preserve">The multi-agency financial triage hub project was proactively set up to tackle the upward trajectory of fraud reporting, predominantly across the cyber enabled/dependent landscape. Specialised officers work daily to link fraud crimes and associate these to existing or emerging crime groups, allowing for proactive and preventative work to be carried out. The hub is resourced from policing divisions in the East of Scotland, with plans to expand this in the future to the rest of Scotland. It will improve the victim experience and satisfaction, as well as reducing demand on </w:t>
            </w:r>
            <w:r w:rsidR="003216EA">
              <w:t>policing and partner resources.</w:t>
            </w:r>
          </w:p>
          <w:p w14:paraId="5B7AC6B8" w14:textId="5C17C0A8" w:rsidR="00001D01" w:rsidRPr="00CE7215" w:rsidRDefault="00001D01" w:rsidP="00001D01">
            <w:pPr>
              <w:pStyle w:val="TableBodyLeft"/>
            </w:pPr>
            <w:r>
              <w:t>With proactive fraud capability in line with Police Scotland’s Cyber strategy and acknowledgement that prevention will play a pivotal role, we have developed a partnership approach to fraud that will deliver successful outcomes to our communities and enhance Scotland’s resilience.</w:t>
            </w:r>
          </w:p>
        </w:tc>
      </w:tr>
    </w:tbl>
    <w:p w14:paraId="38983676" w14:textId="77777777" w:rsidR="00001D01" w:rsidRDefault="00001D01" w:rsidP="00001D01">
      <w:pPr>
        <w:spacing w:before="0" w:after="0"/>
      </w:pPr>
    </w:p>
    <w:tbl>
      <w:tblPr>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001D01" w:rsidRPr="00CE7215" w14:paraId="0356FF30" w14:textId="77777777" w:rsidTr="005C7704">
        <w:trPr>
          <w:trHeight w:val="680"/>
        </w:trPr>
        <w:tc>
          <w:tcPr>
            <w:tcW w:w="9862" w:type="dxa"/>
            <w:shd w:val="clear" w:color="auto" w:fill="FFE599" w:themeFill="accent4" w:themeFillTint="66"/>
            <w:vAlign w:val="center"/>
            <w:hideMark/>
          </w:tcPr>
          <w:p w14:paraId="4778E0DB" w14:textId="5E55400B" w:rsidR="00001D01" w:rsidRPr="00CE7215" w:rsidRDefault="00001D01" w:rsidP="00001D01">
            <w:pPr>
              <w:pStyle w:val="TableHeaderLeft"/>
            </w:pPr>
            <w:r w:rsidRPr="00797A7A">
              <w:rPr>
                <w:rStyle w:val="Strong"/>
                <w:b/>
                <w:bCs w:val="0"/>
              </w:rPr>
              <w:t xml:space="preserve">Proactive/Preventative Policing - </w:t>
            </w:r>
            <w:r w:rsidRPr="00797A7A">
              <w:t>Identifying Vulnerable Victims of Fraud: The Banking Protocol</w:t>
            </w:r>
          </w:p>
        </w:tc>
      </w:tr>
      <w:tr w:rsidR="00001D01" w:rsidRPr="00CE7215" w14:paraId="7B43138A" w14:textId="77777777" w:rsidTr="005C7704">
        <w:trPr>
          <w:trHeight w:val="680"/>
        </w:trPr>
        <w:tc>
          <w:tcPr>
            <w:tcW w:w="9862" w:type="dxa"/>
            <w:shd w:val="clear" w:color="auto" w:fill="FFF2CC" w:themeFill="accent4" w:themeFillTint="33"/>
            <w:vAlign w:val="center"/>
            <w:hideMark/>
          </w:tcPr>
          <w:p w14:paraId="08FE9D97" w14:textId="6170510A" w:rsidR="00001D01" w:rsidRDefault="00001D01" w:rsidP="00001D01">
            <w:pPr>
              <w:pStyle w:val="TableBodyLeft"/>
            </w:pPr>
            <w:r>
              <w:t xml:space="preserve">The Banking Protocol is a multi-agency initiative between law enforcement, banking institutions and Trading Standards. Its aim is to identify vulnerable victims at the earliest opportunity, who are in the process of being defrauded of funds from their bank accounts by unscrupulous criminals and to intervene to prevent these crimes. In terms of Quarter 3 of the reporting year 2023/24, the Banking Protocol recorded 294 incidents accounting for £1,065,297 of fraud being prevented. To date this financial year has recorded 884 incidents, amounting to £3,215,948 of fraud being prevented. </w:t>
            </w:r>
          </w:p>
          <w:p w14:paraId="00DB61C9" w14:textId="198E3A8F" w:rsidR="00001D01" w:rsidRPr="00CE7215" w:rsidRDefault="00001D01" w:rsidP="00001D01">
            <w:pPr>
              <w:pStyle w:val="TableBodyLeft"/>
            </w:pPr>
            <w:r>
              <w:t>This initiative continues to succeed in protecting the vulnerable victims of fraud and its success demonstrates the value of the public/private partnership model.</w:t>
            </w:r>
          </w:p>
        </w:tc>
      </w:tr>
    </w:tbl>
    <w:bookmarkEnd w:id="52"/>
    <w:p w14:paraId="4930FA0C" w14:textId="77777777" w:rsidR="006D4656" w:rsidRPr="001675D8" w:rsidRDefault="006D4656" w:rsidP="002554CE">
      <w:pPr>
        <w:pStyle w:val="Heading4"/>
        <w:rPr>
          <w:lang w:eastAsia="en-GB"/>
        </w:rPr>
      </w:pPr>
      <w:r w:rsidRPr="001675D8">
        <w:rPr>
          <w:lang w:eastAsia="en-GB"/>
        </w:rPr>
        <w:t>Cybercrime</w:t>
      </w:r>
    </w:p>
    <w:p w14:paraId="2CEA6424" w14:textId="66BD3C93" w:rsidR="0063379F" w:rsidRDefault="00437E15" w:rsidP="00C86B3A">
      <w:r>
        <w:t>Digital Evidence Detection Dogs and Digital Forensic Vans Projects have progressed through governance and are in delivery with the aim of operational deployments in Q</w:t>
      </w:r>
      <w:r w:rsidR="003216EA">
        <w:t xml:space="preserve">uarter </w:t>
      </w:r>
      <w:r>
        <w:t>1 of 2024. Both elements will enhance Police Scotland’s search and triage capabilities.</w:t>
      </w:r>
    </w:p>
    <w:p w14:paraId="5D6CFD12" w14:textId="115FE0A7" w:rsidR="00437E15" w:rsidRPr="003216EA" w:rsidRDefault="00437E15" w:rsidP="00C86B3A">
      <w:r>
        <w:t>The Scottish Cyber Coordination Centre (SC3), which Police Scotland is a part of, is now publishing threat intelligence daily via a number of forums, highlighting key vulnerabilities and mitigation steps. The Cyber Incident Response support was utilised a total of three times in Q</w:t>
      </w:r>
      <w:r w:rsidR="003216EA">
        <w:t xml:space="preserve">uarter </w:t>
      </w:r>
      <w:r>
        <w:t>3, and a new director has been appointed who will drive development of the centre and lead on the strategic plan and direction moving forward.</w:t>
      </w:r>
    </w:p>
    <w:p w14:paraId="191477D8" w14:textId="16DC88FD" w:rsidR="00BD7F0E" w:rsidRDefault="000448A1" w:rsidP="002554CE">
      <w:pPr>
        <w:pStyle w:val="Heading4"/>
      </w:pPr>
      <w:r>
        <w:lastRenderedPageBreak/>
        <w:t>Detection Rates</w:t>
      </w:r>
    </w:p>
    <w:p w14:paraId="0F677A9A" w14:textId="1DDB32E8" w:rsidR="00DE2284" w:rsidRDefault="00B002A2" w:rsidP="00DE2284">
      <w:r w:rsidRPr="00B002A2">
        <w:t>The fraud detection rate currently stands at 15.6%, down 1.0 percentage points on last year and 8.5 percentage points on the five-year mean. This decrease has been driven by a decrease in detected crimes and also the continued increase in recorded frauds. Between April and September 2023, 2,043 frauds were detected, which is 1.7% (35 detections) less than the same period last year and 13.3% (308 detections) less than the five-year mean.</w:t>
      </w:r>
    </w:p>
    <w:p w14:paraId="77F0D2F9" w14:textId="416AFEC9" w:rsidR="007D2710" w:rsidRDefault="007D2710" w:rsidP="002554CE">
      <w:pPr>
        <w:pStyle w:val="Heading4"/>
      </w:pPr>
      <w:r w:rsidRPr="00BF1C94">
        <w:t>Criminal Justice</w:t>
      </w:r>
    </w:p>
    <w:p w14:paraId="421EA02C" w14:textId="411CFEC6" w:rsidR="002D2E85" w:rsidRDefault="00CD08A4" w:rsidP="00BF1C94">
      <w:pPr>
        <w:rPr>
          <w:b/>
          <w:bCs/>
        </w:rPr>
      </w:pPr>
      <w:r>
        <w:rPr>
          <w:noProof/>
          <w:lang w:eastAsia="en-GB"/>
        </w:rPr>
        <w:drawing>
          <wp:inline distT="0" distB="0" distL="0" distR="0" wp14:anchorId="1066BE0F" wp14:editId="5A2B9050">
            <wp:extent cx="6264000" cy="720000"/>
            <wp:effectExtent l="0" t="0" r="3810" b="4445"/>
            <wp:docPr id="416460824" name="Picture 416460824" descr="This visualisation shows the volume of cases submitted into criminal justice system at the end of quarter 3 compared to the previous year. There were 92,488 cases in the PYTD compared to 97,308 YTD. Up 5.2% on last year." title="Volume of Cases Visualis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45"/>
                    <a:stretch>
                      <a:fillRect/>
                    </a:stretch>
                  </pic:blipFill>
                  <pic:spPr>
                    <a:xfrm>
                      <a:off x="0" y="0"/>
                      <a:ext cx="6264000" cy="720000"/>
                    </a:xfrm>
                    <a:prstGeom prst="rect">
                      <a:avLst/>
                    </a:prstGeom>
                  </pic:spPr>
                </pic:pic>
              </a:graphicData>
            </a:graphic>
          </wp:inline>
        </w:drawing>
      </w:r>
    </w:p>
    <w:p w14:paraId="421C76B9" w14:textId="1C8E5036" w:rsidR="00CC7C80" w:rsidRDefault="00CC7C80" w:rsidP="00CC7C80">
      <w:r w:rsidRPr="00B66C93">
        <w:rPr>
          <w:shd w:val="clear" w:color="auto" w:fill="FFF2CC" w:themeFill="accent4" w:themeFillTint="33"/>
        </w:rPr>
        <w:t xml:space="preserve">It </w:t>
      </w:r>
      <w:r>
        <w:rPr>
          <w:shd w:val="clear" w:color="auto" w:fill="FFF2CC" w:themeFill="accent4" w:themeFillTint="33"/>
        </w:rPr>
        <w:t>should be noted that the process of collating this data has changed during the Quarter 3 period as a result of the Core Operation System (COS) rollout across the country. Figures may therefore not</w:t>
      </w:r>
      <w:r w:rsidR="008A18A5">
        <w:rPr>
          <w:shd w:val="clear" w:color="auto" w:fill="FFF2CC" w:themeFill="accent4" w:themeFillTint="33"/>
        </w:rPr>
        <w:t xml:space="preserve"> be</w:t>
      </w:r>
      <w:r>
        <w:rPr>
          <w:shd w:val="clear" w:color="auto" w:fill="FFF2CC" w:themeFill="accent4" w:themeFillTint="33"/>
        </w:rPr>
        <w:t xml:space="preserve"> comparable to those</w:t>
      </w:r>
      <w:r w:rsidR="003216EA">
        <w:rPr>
          <w:shd w:val="clear" w:color="auto" w:fill="FFF2CC" w:themeFill="accent4" w:themeFillTint="33"/>
        </w:rPr>
        <w:t xml:space="preserve"> reported in Quarters 1 and 2.</w:t>
      </w:r>
    </w:p>
    <w:p w14:paraId="59037684" w14:textId="5CDBAD39" w:rsidR="00CC7C80" w:rsidRDefault="00CC7C80" w:rsidP="00CC7C80">
      <w:r w:rsidRPr="006144B0">
        <w:t>After a</w:t>
      </w:r>
      <w:r>
        <w:t xml:space="preserve"> yearly</w:t>
      </w:r>
      <w:r w:rsidRPr="006144B0">
        <w:t xml:space="preserve"> decrease of 6.</w:t>
      </w:r>
      <w:r>
        <w:t>2</w:t>
      </w:r>
      <w:r w:rsidRPr="006144B0">
        <w:t xml:space="preserve">% in the number of cases submitted </w:t>
      </w:r>
      <w:r>
        <w:t>at the end of</w:t>
      </w:r>
      <w:r w:rsidRPr="006144B0">
        <w:t xml:space="preserve"> Quarter 2, this quarter </w:t>
      </w:r>
      <w:r>
        <w:t>shows</w:t>
      </w:r>
      <w:r w:rsidRPr="006144B0">
        <w:t xml:space="preserve"> a </w:t>
      </w:r>
      <w:r>
        <w:t>5.2</w:t>
      </w:r>
      <w:r w:rsidRPr="006144B0">
        <w:t>%</w:t>
      </w:r>
      <w:r>
        <w:t xml:space="preserve"> year</w:t>
      </w:r>
      <w:r w:rsidR="008A18A5">
        <w:t>-</w:t>
      </w:r>
      <w:r>
        <w:t>to</w:t>
      </w:r>
      <w:r w:rsidR="008A18A5">
        <w:t>-</w:t>
      </w:r>
      <w:r>
        <w:t>date</w:t>
      </w:r>
      <w:r w:rsidRPr="006144B0">
        <w:t xml:space="preserve"> increase </w:t>
      </w:r>
      <w:r>
        <w:t>from last year</w:t>
      </w:r>
      <w:r w:rsidRPr="006144B0">
        <w:t xml:space="preserve">. Some of this increase can be attributed to </w:t>
      </w:r>
      <w:r w:rsidR="00A05814" w:rsidRPr="00A05814">
        <w:t xml:space="preserve">efforts made to reduce </w:t>
      </w:r>
      <w:r w:rsidRPr="006144B0">
        <w:t xml:space="preserve">the </w:t>
      </w:r>
      <w:r w:rsidRPr="00852185">
        <w:t>Standard Prosecution Report (SPR) backlog, where the number fell from 8,083 at the start of October 2023 to 3,589 by the end of December 202</w:t>
      </w:r>
      <w:r w:rsidR="002F4DBF">
        <w:t>3</w:t>
      </w:r>
      <w:r w:rsidR="0018796E">
        <w:t xml:space="preserve">. As per the above caveat, the impact of the improved systems will impact </w:t>
      </w:r>
      <w:r w:rsidR="00A05814">
        <w:t xml:space="preserve">positively </w:t>
      </w:r>
      <w:r w:rsidR="0018796E">
        <w:t>on the recording of this data</w:t>
      </w:r>
      <w:r w:rsidR="00A05814">
        <w:t xml:space="preserve"> going forward</w:t>
      </w:r>
      <w:r w:rsidR="0018796E">
        <w:t>.</w:t>
      </w:r>
    </w:p>
    <w:p w14:paraId="78F8780E" w14:textId="77777777" w:rsidR="00A05814" w:rsidRDefault="00A05814" w:rsidP="002554CE">
      <w:pPr>
        <w:pStyle w:val="Heading4"/>
      </w:pPr>
      <w:r>
        <w:t>Police Custody</w:t>
      </w:r>
    </w:p>
    <w:p w14:paraId="663494A3" w14:textId="6F22A586" w:rsidR="00CC7C80" w:rsidRDefault="00CC7C80" w:rsidP="002554CE">
      <w:pPr>
        <w:pStyle w:val="Heading4"/>
        <w:rPr>
          <w:iCs/>
        </w:rPr>
      </w:pPr>
      <w:r>
        <w:t>Arrested Persons</w:t>
      </w:r>
    </w:p>
    <w:p w14:paraId="0C47ED67" w14:textId="4FA7C2C2" w:rsidR="00CC7C80" w:rsidRDefault="00B0719A" w:rsidP="00BF1C94">
      <w:pPr>
        <w:rPr>
          <w:b/>
          <w:bCs/>
        </w:rPr>
      </w:pPr>
      <w:r>
        <w:rPr>
          <w:noProof/>
          <w:lang w:eastAsia="en-GB"/>
        </w:rPr>
        <w:drawing>
          <wp:inline distT="0" distB="0" distL="0" distR="0" wp14:anchorId="71E766FD" wp14:editId="33C67FD8">
            <wp:extent cx="6264000" cy="720000"/>
            <wp:effectExtent l="0" t="0" r="3810" b="4445"/>
            <wp:docPr id="416460825" name="Picture 416460825" descr="This visualisation shows the number of times arrested persons were brought into custody at the end of quarter 3 compared to the previous year. Arrested persons were brought into custody 73,127 times in the PYTD compared to 75,870 YTD. Up 3.8% on last year." title="Arrested Persons in Custody Visualis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46"/>
                    <a:stretch>
                      <a:fillRect/>
                    </a:stretch>
                  </pic:blipFill>
                  <pic:spPr>
                    <a:xfrm>
                      <a:off x="0" y="0"/>
                      <a:ext cx="6264000" cy="720000"/>
                    </a:xfrm>
                    <a:prstGeom prst="rect">
                      <a:avLst/>
                    </a:prstGeom>
                  </pic:spPr>
                </pic:pic>
              </a:graphicData>
            </a:graphic>
          </wp:inline>
        </w:drawing>
      </w:r>
    </w:p>
    <w:p w14:paraId="67594008" w14:textId="77777777" w:rsidR="00CC7C80" w:rsidRDefault="00CC7C80" w:rsidP="00CC7C80">
      <w:r w:rsidRPr="00B66C93">
        <w:rPr>
          <w:shd w:val="clear" w:color="auto" w:fill="FFF2CC" w:themeFill="accent4" w:themeFillTint="33"/>
        </w:rPr>
        <w:t>It is important to note that th</w:t>
      </w:r>
      <w:r>
        <w:rPr>
          <w:shd w:val="clear" w:color="auto" w:fill="FFF2CC" w:themeFill="accent4" w:themeFillTint="33"/>
        </w:rPr>
        <w:t>e</w:t>
      </w:r>
      <w:r w:rsidRPr="00B66C93">
        <w:rPr>
          <w:shd w:val="clear" w:color="auto" w:fill="FFF2CC" w:themeFill="accent4" w:themeFillTint="33"/>
        </w:rPr>
        <w:t xml:space="preserve"> number of arrested persons includes individuals who have appeared in custody on more than one occasion within the reporting period. This excludes voluntary attendance, S.23 MDA 1971 detentions and those in transit</w:t>
      </w:r>
      <w:r>
        <w:t>.</w:t>
      </w:r>
    </w:p>
    <w:p w14:paraId="65FA6E3C" w14:textId="02DF8D6F" w:rsidR="00CC7C80" w:rsidRDefault="00CC7C80" w:rsidP="00CC7C80">
      <w:r w:rsidRPr="006144B0">
        <w:t>Custody throughput continues to rise with this being the seventh consecutive quarter where it has done so. Part of the increase has taken the form of arrests on warrant however this in itself does not account solely for the continued rise. The rate does appear to be slowing with Quarter 2 having a 5.1% increase from the previous year.</w:t>
      </w:r>
    </w:p>
    <w:p w14:paraId="4E9B87E8" w14:textId="56D8DE39" w:rsidR="00CC7C80" w:rsidRDefault="00B0719A" w:rsidP="00BF1C94">
      <w:pPr>
        <w:rPr>
          <w:b/>
          <w:bCs/>
        </w:rPr>
      </w:pPr>
      <w:r>
        <w:rPr>
          <w:noProof/>
          <w:lang w:eastAsia="en-GB"/>
        </w:rPr>
        <w:lastRenderedPageBreak/>
        <w:drawing>
          <wp:inline distT="0" distB="0" distL="0" distR="0" wp14:anchorId="58D20779" wp14:editId="6A555AD5">
            <wp:extent cx="6264000" cy="2160000"/>
            <wp:effectExtent l="0" t="0" r="3810" b="0"/>
            <wp:docPr id="416460827" name="Picture 416460827" descr="This visualisation shows the number/proportion of arrested persons held for court at the end of quarter 3 compared to the previous year. &#10;&#10;The first section (recorded YTD comparison) shows arrested persons were held for court 29,615 times in the PYTD compared to 32,087 YTD. Up 8.3% on last year. Arrested persons were held for court new case 19,830 times in the PYTD compared to 21,312 YTD. Up 7.5% on last year.&#10;&#10;The second section (recorded YTD % comparison) shows the proportion of arrested persons held for court was 40.5% in the PYTD compared to 42.3% YTD. Up 1.8% points on last year. The proportion of arrested persons held for court new case was 67.0% in the PYTD compared to 66.4% YTD. Down 0.6% points on last year." title="Arrested Persons Held for Court Visualis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264000" cy="2160000"/>
                    </a:xfrm>
                    <a:prstGeom prst="rect">
                      <a:avLst/>
                    </a:prstGeom>
                  </pic:spPr>
                </pic:pic>
              </a:graphicData>
            </a:graphic>
          </wp:inline>
        </w:drawing>
      </w:r>
    </w:p>
    <w:p w14:paraId="1050DA58" w14:textId="3A919BBD" w:rsidR="00CC7C80" w:rsidRDefault="00CC7C80" w:rsidP="00CC7C80">
      <w:r w:rsidRPr="009B4B3F">
        <w:t>The figures for Quarter 3 continue to show an increase in the number of individuals arrested being held for court in comparison to the same period last year, however the rate has slowed from the Quarter 2 figures. The proportion of arrested persons held for court has remained relatively static around the 42%</w:t>
      </w:r>
      <w:r>
        <w:t xml:space="preserve"> mark</w:t>
      </w:r>
      <w:r w:rsidRPr="009B4B3F">
        <w:t xml:space="preserve"> over the last three quarters.</w:t>
      </w:r>
    </w:p>
    <w:p w14:paraId="18E36F22" w14:textId="3BEB8327" w:rsidR="00CC7C80" w:rsidRDefault="00B0719A" w:rsidP="00BF1C94">
      <w:pPr>
        <w:rPr>
          <w:b/>
          <w:bCs/>
        </w:rPr>
      </w:pPr>
      <w:r>
        <w:rPr>
          <w:noProof/>
          <w:lang w:eastAsia="en-GB"/>
        </w:rPr>
        <w:drawing>
          <wp:inline distT="0" distB="0" distL="0" distR="0" wp14:anchorId="551330A8" wp14:editId="1043D5EA">
            <wp:extent cx="6264000" cy="2160000"/>
            <wp:effectExtent l="0" t="0" r="3810" b="0"/>
            <wp:docPr id="416460828" name="Picture 416460828" descr="This visualisation shows the number/proportion of arrested persons released/re-arrested at the end of quarter 3 compared to the previous year. &#10;&#10;The first section (recorded YTD comparison) shows 17,636 arrested persons were released on an undertaking in the PYTD compared to 17,708 YTD. Up 0.4% on last year. 453 persons were re-arrested in the PYTD compared to 479 YTD. Up 5.7% on last year.&#10;&#10;The second section (recorded YTD % comparison) shows the proportion of arrested persons released on an undertaking was 24.1% in the PYTD compared to 23.3% YTD. Down 0.8% points on last year. The proportion of persons released on investigative liberation was 0.6% in the PYTD compared to 0.9% YTD. Up 0.3% points on last year." title="Arrested Persons Released/Re-arrested Visualis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264000" cy="2160000"/>
                    </a:xfrm>
                    <a:prstGeom prst="rect">
                      <a:avLst/>
                    </a:prstGeom>
                  </pic:spPr>
                </pic:pic>
              </a:graphicData>
            </a:graphic>
          </wp:inline>
        </w:drawing>
      </w:r>
    </w:p>
    <w:p w14:paraId="21B8934B" w14:textId="77777777" w:rsidR="00CC7C80" w:rsidRDefault="00CC7C80" w:rsidP="00CC7C80">
      <w:pPr>
        <w:rPr>
          <w:shd w:val="clear" w:color="auto" w:fill="FFF2CC" w:themeFill="accent4" w:themeFillTint="33"/>
        </w:rPr>
      </w:pPr>
      <w:r w:rsidRPr="00272427">
        <w:rPr>
          <w:shd w:val="clear" w:color="auto" w:fill="FFF2CC" w:themeFill="accent4" w:themeFillTint="33"/>
        </w:rPr>
        <w:t>The term ‘re-arrested’ is defined as any occasion whereby a person, previously released without charge as a ‘Not-Officially Accused’ person, is subsequently re-arrested for the same offence due to the presence of further evidence. This is not to be confused with a person arrested more than once within a specified period on separate charges as defined by recidivism</w:t>
      </w:r>
      <w:r>
        <w:rPr>
          <w:shd w:val="clear" w:color="auto" w:fill="FFF2CC" w:themeFill="accent4" w:themeFillTint="33"/>
        </w:rPr>
        <w:t>.</w:t>
      </w:r>
    </w:p>
    <w:p w14:paraId="40F777CB" w14:textId="77777777" w:rsidR="00CC7C80" w:rsidRPr="0074720F" w:rsidRDefault="00CC7C80" w:rsidP="00CC7C80">
      <w:pPr>
        <w:rPr>
          <w:shd w:val="clear" w:color="auto" w:fill="FFF2CC" w:themeFill="accent4" w:themeFillTint="33"/>
        </w:rPr>
      </w:pPr>
      <w:r w:rsidRPr="0074720F">
        <w:rPr>
          <w:shd w:val="clear" w:color="auto" w:fill="FFF2CC" w:themeFill="accent4" w:themeFillTint="33"/>
        </w:rPr>
        <w:t>Police Scotland is no longer in a position to provide figures related to electronic bail as this is managed on behalf of the Scottish Government by G4S. Police Scotland are only notified of relevant breaches</w:t>
      </w:r>
      <w:r>
        <w:rPr>
          <w:shd w:val="clear" w:color="auto" w:fill="FFF2CC" w:themeFill="accent4" w:themeFillTint="33"/>
        </w:rPr>
        <w:t xml:space="preserve">. </w:t>
      </w:r>
    </w:p>
    <w:p w14:paraId="3260609C" w14:textId="23A6B087" w:rsidR="00CC7C80" w:rsidRDefault="00CC7C80" w:rsidP="00BF1C94">
      <w:pPr>
        <w:rPr>
          <w:b/>
          <w:bCs/>
        </w:rPr>
      </w:pPr>
      <w:r w:rsidRPr="004F7BC8">
        <w:t xml:space="preserve">Use of investigative liberation continues to be better used across the organisation with </w:t>
      </w:r>
      <w:r w:rsidR="00A05814" w:rsidRPr="00A05814">
        <w:t>work ongoing with COPFS colleagues to increase the use of investigative liberation and reduce the number of a</w:t>
      </w:r>
      <w:r w:rsidR="00A05814">
        <w:t>rrested persons held for Court.</w:t>
      </w:r>
      <w:r w:rsidRPr="004F7BC8">
        <w:t xml:space="preserve"> CJSD </w:t>
      </w:r>
      <w:r w:rsidR="00A05814">
        <w:t>will continue to engage with</w:t>
      </w:r>
      <w:r w:rsidRPr="004F7BC8">
        <w:t xml:space="preserve"> divisions </w:t>
      </w:r>
      <w:r w:rsidR="00A05814">
        <w:t xml:space="preserve">in 2024 </w:t>
      </w:r>
      <w:r w:rsidRPr="004F7BC8">
        <w:t xml:space="preserve">to further embed its use and make supervisors aware of its benefits. The number of </w:t>
      </w:r>
      <w:r w:rsidRPr="004F7BC8">
        <w:lastRenderedPageBreak/>
        <w:t>individuals released on undertaking has slowed compared to the previous quarter with figures now almost identical to those reported last year</w:t>
      </w:r>
      <w:r w:rsidRPr="000475A0">
        <w:t>.</w:t>
      </w:r>
    </w:p>
    <w:p w14:paraId="0DCF5594" w14:textId="77777777" w:rsidR="00160772" w:rsidRPr="00F060F9" w:rsidRDefault="00160772" w:rsidP="002554CE">
      <w:pPr>
        <w:pStyle w:val="Heading4"/>
      </w:pPr>
      <w:r w:rsidRPr="00F060F9">
        <w:t>Children brought into Police Custody / Held for Court</w:t>
      </w:r>
    </w:p>
    <w:p w14:paraId="5AEB3EA6" w14:textId="6FFEF6F4" w:rsidR="00160772" w:rsidRDefault="00B0719A" w:rsidP="00BF1C94">
      <w:pPr>
        <w:rPr>
          <w:b/>
          <w:bCs/>
        </w:rPr>
      </w:pPr>
      <w:r>
        <w:rPr>
          <w:noProof/>
          <w:lang w:eastAsia="en-GB"/>
        </w:rPr>
        <w:drawing>
          <wp:inline distT="0" distB="0" distL="0" distR="0" wp14:anchorId="2354E674" wp14:editId="6324112A">
            <wp:extent cx="6264000" cy="2520000"/>
            <wp:effectExtent l="0" t="0" r="3810" b="0"/>
            <wp:docPr id="1894519904" name="Picture 1894519904" descr="This visualisation shows the number of younger/older children arrested at the end of quarter 3 compared to the previous year. &#10;&#10;The recorded YTD comparison shows 1,089 younger children were arrested but not held overnight in the PYTD compared to 1,196 YTD. Up 9.8% on last year. 115 younger children were arrested and held overnight in the PYTD compared to 82 YTD. Down 28.7% on last year. 21 younger children were held over 24 hours in the PYTD compared to 29 YTD. Up 38.1% on last year. 1,278 older children were arrested but not held overnight in the PYTD compared to 1,198 YTD. Down 6.3% on last year. 338 older children were arrested and held overnight in the PYTD compared to 347 YTD. Up 2.7% on last year. 184 older children were held over 24 hours in the PYTD compared to 136 YTD. Down 26.1% on last year." title="Children Arrested Visualis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264000" cy="2520000"/>
                    </a:xfrm>
                    <a:prstGeom prst="rect">
                      <a:avLst/>
                    </a:prstGeom>
                  </pic:spPr>
                </pic:pic>
              </a:graphicData>
            </a:graphic>
          </wp:inline>
        </w:drawing>
      </w:r>
    </w:p>
    <w:p w14:paraId="79E80B10" w14:textId="77777777" w:rsidR="00160772" w:rsidRDefault="00160772" w:rsidP="00160772">
      <w:r w:rsidRPr="00B66C93">
        <w:rPr>
          <w:shd w:val="clear" w:color="auto" w:fill="FFF2CC" w:themeFill="accent4" w:themeFillTint="33"/>
        </w:rPr>
        <w:t>Definitions for clarity: Adult being defined as 18 or over; Older Child being defined as 16/17 and Not under Supervision; Younger Child being defined as Under 16 or 16/17 but subject to a Compulsory Supervision Order. The number listed as held over 24 hours are those who were held in a police cell and had a relevant certificate in terms of S.22 of the Criminal Justice (Scotland) Act 2016 issued indicating why they were so held and not at a place of safety. **Overnight is determined as the period of time spent in custody which exceeds four hours and includes the period between 0000 and 0400 hours</w:t>
      </w:r>
      <w:r>
        <w:t>.</w:t>
      </w:r>
    </w:p>
    <w:p w14:paraId="55FD5DBF" w14:textId="0D3A9154" w:rsidR="00160772" w:rsidRPr="007248F0" w:rsidRDefault="00160772" w:rsidP="00160772">
      <w:pPr>
        <w:rPr>
          <w:iCs/>
        </w:rPr>
      </w:pPr>
      <w:r w:rsidRPr="007248F0">
        <w:t xml:space="preserve">Whilst the number of younger children arrested and brought into custody has increased </w:t>
      </w:r>
      <w:r>
        <w:t>by</w:t>
      </w:r>
      <w:r w:rsidRPr="007248F0">
        <w:t xml:space="preserve"> 9.</w:t>
      </w:r>
      <w:r>
        <w:t>8</w:t>
      </w:r>
      <w:r w:rsidRPr="007248F0">
        <w:t>% in comparison to the previous year reporting, this is an 8.</w:t>
      </w:r>
      <w:r>
        <w:t>6</w:t>
      </w:r>
      <w:r w:rsidRPr="007248F0">
        <w:t>%</w:t>
      </w:r>
      <w:r>
        <w:t xml:space="preserve"> point</w:t>
      </w:r>
      <w:r w:rsidRPr="007248F0">
        <w:t xml:space="preserve"> fall on the</w:t>
      </w:r>
      <w:r>
        <w:t xml:space="preserve"> difference seen in</w:t>
      </w:r>
      <w:r w:rsidR="008A18A5">
        <w:t xml:space="preserve"> the</w:t>
      </w:r>
      <w:r w:rsidRPr="007248F0">
        <w:t xml:space="preserve"> previous quarter. The number of younger children held overnight continues to fall which has been an encouraging trend over the last two quarters.</w:t>
      </w:r>
    </w:p>
    <w:p w14:paraId="740248D1" w14:textId="62B7C080" w:rsidR="00160772" w:rsidRPr="007248F0" w:rsidRDefault="00160772" w:rsidP="00160772">
      <w:pPr>
        <w:rPr>
          <w:iCs/>
        </w:rPr>
      </w:pPr>
      <w:r w:rsidRPr="007248F0">
        <w:t xml:space="preserve">There has been an increase in the number of younger children held in custody over 24 hours, however an increase of </w:t>
      </w:r>
      <w:r>
        <w:t>eight</w:t>
      </w:r>
      <w:r w:rsidRPr="007248F0">
        <w:t xml:space="preserve"> instances in comparison to the previous reporting year is a very small proportion of our custody throughput and can be linked to a larger number of younger children bein</w:t>
      </w:r>
      <w:r w:rsidR="002F4DBF">
        <w:t>g accepted into police custody.</w:t>
      </w:r>
    </w:p>
    <w:p w14:paraId="16B0715D" w14:textId="7595FA96" w:rsidR="00160772" w:rsidRDefault="00160772" w:rsidP="00160772">
      <w:pPr>
        <w:rPr>
          <w:iCs/>
        </w:rPr>
      </w:pPr>
      <w:r w:rsidRPr="007248F0">
        <w:t>In contrast the number of older children accepted into custody has fallen, with the number held over 24 hours falling even further.</w:t>
      </w:r>
    </w:p>
    <w:p w14:paraId="66A27CF6" w14:textId="77777777" w:rsidR="00297109" w:rsidRDefault="00297109" w:rsidP="002554CE">
      <w:pPr>
        <w:pStyle w:val="Heading4"/>
      </w:pPr>
      <w:bookmarkStart w:id="53" w:name="_Police_Direct_Measures"/>
      <w:bookmarkEnd w:id="53"/>
      <w:r>
        <w:lastRenderedPageBreak/>
        <w:t>Police Direct Measures</w:t>
      </w:r>
    </w:p>
    <w:p w14:paraId="02A0E6A7" w14:textId="6D0918F9" w:rsidR="00297109" w:rsidRDefault="00B0719A" w:rsidP="00297109">
      <w:pPr>
        <w:rPr>
          <w:b/>
          <w:bCs/>
        </w:rPr>
      </w:pPr>
      <w:r>
        <w:rPr>
          <w:noProof/>
          <w:lang w:eastAsia="en-GB"/>
        </w:rPr>
        <w:drawing>
          <wp:inline distT="0" distB="0" distL="0" distR="0" wp14:anchorId="110FEFA3" wp14:editId="41E78CDB">
            <wp:extent cx="6264000" cy="1152000"/>
            <wp:effectExtent l="0" t="0" r="3810" b="0"/>
            <wp:docPr id="1894519905" name="Picture 1894519905" descr="This visualisation shows the number of ASB Fixed Penalty Notices/recorded police warnings issued at the end of quarter 3 compared to the previous year. &#10;&#10;The recorded YTD comparison shows 3,903 ASB fixed penalty notices were issued in the PYTD compared to 3,456 YTD. Down 11.5% on last year. 15,434 recorded police warnings were issued in the PYTD compared to 14,425 YTD. Down 6.5% on last year." title="Police Direct Measures Visualis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264000" cy="1152000"/>
                    </a:xfrm>
                    <a:prstGeom prst="rect">
                      <a:avLst/>
                    </a:prstGeom>
                  </pic:spPr>
                </pic:pic>
              </a:graphicData>
            </a:graphic>
          </wp:inline>
        </w:drawing>
      </w:r>
    </w:p>
    <w:p w14:paraId="71BD3CC0" w14:textId="18049921" w:rsidR="00297109" w:rsidRDefault="00297109" w:rsidP="00297109">
      <w:r w:rsidRPr="003C6948">
        <w:t xml:space="preserve">Use of alternatives to prosecution are on the decline. After a positive 7.5% increase in the use of RPWs </w:t>
      </w:r>
      <w:r>
        <w:t>at</w:t>
      </w:r>
      <w:r w:rsidRPr="003C6948">
        <w:t xml:space="preserve"> Quarter 2</w:t>
      </w:r>
      <w:r>
        <w:t xml:space="preserve"> year to date</w:t>
      </w:r>
      <w:r w:rsidRPr="003C6948">
        <w:t>, Quarter 3 shows a 6.4% reduction in the number issued</w:t>
      </w:r>
      <w:r>
        <w:t xml:space="preserve"> compared to last year</w:t>
      </w:r>
      <w:r w:rsidRPr="003C6948">
        <w:t>. This equates to 1,009 less w</w:t>
      </w:r>
      <w:r w:rsidR="002F4DBF">
        <w:t>arnings than the previous year.</w:t>
      </w:r>
    </w:p>
    <w:p w14:paraId="6E572A2E" w14:textId="73D63D94" w:rsidR="00297109" w:rsidRDefault="00297109" w:rsidP="00297109">
      <w:r w:rsidRPr="003C6948">
        <w:t xml:space="preserve">Fixed Penalty Notices are down 447 at the same stage the previous year, which </w:t>
      </w:r>
      <w:r>
        <w:t>has decreased a further</w:t>
      </w:r>
      <w:r w:rsidRPr="003C6948">
        <w:t xml:space="preserve"> 2.</w:t>
      </w:r>
      <w:r>
        <w:t>7</w:t>
      </w:r>
      <w:r w:rsidRPr="003C6948">
        <w:t>%</w:t>
      </w:r>
      <w:r>
        <w:t xml:space="preserve"> from last year when compared to the</w:t>
      </w:r>
      <w:r w:rsidRPr="003C6948">
        <w:t xml:space="preserve"> Quarter 2</w:t>
      </w:r>
      <w:r>
        <w:t xml:space="preserve"> year to date figure</w:t>
      </w:r>
      <w:r w:rsidRPr="003C6948">
        <w:t>. Work is ongoing with local policing divisions to raise awareness and encourage the use of direct measures in the future, along with work through the Criminal Justice Mobile Working Group to continually improve the technology used for issuing them.</w:t>
      </w:r>
      <w:r w:rsidR="00A05814">
        <w:t xml:space="preserve"> </w:t>
      </w:r>
      <w:r w:rsidR="00A05814" w:rsidRPr="00A05814">
        <w:t>The introduction of the National Crime and Case Management system will provide improved management information in relation to Direct Measures which will inform further action</w:t>
      </w:r>
      <w:r w:rsidR="00A05814">
        <w:t>.</w:t>
      </w:r>
    </w:p>
    <w:p w14:paraId="63AD5B85" w14:textId="20FA160E" w:rsidR="009628E1" w:rsidRDefault="009628E1" w:rsidP="002554CE">
      <w:pPr>
        <w:pStyle w:val="Heading4"/>
      </w:pPr>
      <w:r>
        <w:t>Vulnerability</w:t>
      </w:r>
    </w:p>
    <w:p w14:paraId="467A7A29" w14:textId="08089EF0" w:rsidR="009628E1" w:rsidRDefault="00B0719A" w:rsidP="00BF1C94">
      <w:pPr>
        <w:rPr>
          <w:b/>
          <w:bCs/>
        </w:rPr>
      </w:pPr>
      <w:r>
        <w:rPr>
          <w:noProof/>
          <w:lang w:eastAsia="en-GB"/>
        </w:rPr>
        <w:drawing>
          <wp:inline distT="0" distB="0" distL="0" distR="0" wp14:anchorId="4DC61D2D" wp14:editId="7841FAE7">
            <wp:extent cx="6264000" cy="2808000"/>
            <wp:effectExtent l="0" t="0" r="3810" b="0"/>
            <wp:docPr id="1894519907" name="Picture 1894519907" descr="This visualisation shows the number/proportion of persons arrested with alcohol, drugs or mental health issues at the end of quarter 3 compared to the previous year. &#10;&#10;The first section (recorded YTD comparison) shows 8,727 persons were arrested with alcohol addiction issues in the PYTD compared to 9,778 YTD. Up 12.0% on last year. 11,136 persons were arrested with drug addiction issues in the PYTD compared to 12,500 YTD. Up 12.2% on last year and 30,939 persons were arrested with mental health issues in the PYTD compared to 32,585 YTD. Up 5.3% on last year.&#10;The second section (recorded YTD % comparison) shows the proportion of persons arrested with alcohol addiction issues was 11.9% in the PYTD compared to 12.9% YTD. Up 1.0% points on last year. The proportion of persons arrested with drug addiction issues was 15.2% in the PYTD compared to 16.5% YTD. Up 1.3% points on last year and the proportion of persons arrested with mental health issues was 42.3% in the PYTD compared to 42.9% YTD. Up 0.6% points on last year." title="Vulnerability Visualis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264000" cy="2808000"/>
                    </a:xfrm>
                    <a:prstGeom prst="rect">
                      <a:avLst/>
                    </a:prstGeom>
                  </pic:spPr>
                </pic:pic>
              </a:graphicData>
            </a:graphic>
          </wp:inline>
        </w:drawing>
      </w:r>
    </w:p>
    <w:p w14:paraId="69595147" w14:textId="77777777" w:rsidR="009628E1" w:rsidRDefault="009628E1" w:rsidP="009628E1">
      <w:r w:rsidRPr="00B66C93">
        <w:rPr>
          <w:shd w:val="clear" w:color="auto" w:fill="FFF2CC" w:themeFill="accent4" w:themeFillTint="33"/>
        </w:rPr>
        <w:t>Please note, each custody may have reported "yes" to each of the above categories</w:t>
      </w:r>
      <w:r>
        <w:t>.</w:t>
      </w:r>
    </w:p>
    <w:p w14:paraId="518E30F1" w14:textId="371478DD" w:rsidR="00CC7C80" w:rsidRDefault="009628E1" w:rsidP="00BF1C94">
      <w:pPr>
        <w:rPr>
          <w:b/>
          <w:bCs/>
        </w:rPr>
      </w:pPr>
      <w:r w:rsidRPr="006A222A">
        <w:t xml:space="preserve">This is the third consecutive quarter that has seen a rise across all vulnerability measures however the percentage change from the previous year has </w:t>
      </w:r>
      <w:r w:rsidRPr="000475A0">
        <w:t>remained relatively static. The proportion of persons declaring one or multiple vulnerabilities is rising however this could be linked to more individuals being arrested and brought into custody.</w:t>
      </w:r>
    </w:p>
    <w:p w14:paraId="0ABC02F2" w14:textId="6CCE11E0" w:rsidR="009628E1" w:rsidRDefault="00B0719A" w:rsidP="00BF1C94">
      <w:pPr>
        <w:rPr>
          <w:b/>
          <w:bCs/>
        </w:rPr>
      </w:pPr>
      <w:r>
        <w:rPr>
          <w:noProof/>
          <w:lang w:eastAsia="en-GB"/>
        </w:rPr>
        <w:lastRenderedPageBreak/>
        <w:drawing>
          <wp:inline distT="0" distB="0" distL="0" distR="0" wp14:anchorId="3890A720" wp14:editId="23A06F8E">
            <wp:extent cx="6264000" cy="720000"/>
            <wp:effectExtent l="0" t="0" r="3810" b="4445"/>
            <wp:docPr id="1894519908" name="Picture 1894519908" descr="This visualisation shows the number of people in custody seen by NHS partners at the end of quarter 3 compared to the previous year. The recorded YTD comparison shows 5,221 people in custody were seen by NHS partners in the PYTD compared to 5,511 YTD. Up 5.6% on last year." title="NHS Partners Visualis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264000" cy="720000"/>
                    </a:xfrm>
                    <a:prstGeom prst="rect">
                      <a:avLst/>
                    </a:prstGeom>
                  </pic:spPr>
                </pic:pic>
              </a:graphicData>
            </a:graphic>
          </wp:inline>
        </w:drawing>
      </w:r>
    </w:p>
    <w:p w14:paraId="69ACCD5D" w14:textId="77777777" w:rsidR="009628E1" w:rsidRDefault="009628E1" w:rsidP="009628E1">
      <w:r w:rsidRPr="00B66C93">
        <w:rPr>
          <w:shd w:val="clear" w:color="auto" w:fill="FFF2CC" w:themeFill="accent4" w:themeFillTint="33"/>
        </w:rPr>
        <w:t>Figures provided represent the numbers marked out of cell for medical assessment (excluding those to hospital). They do not include those individuals who are subject to several medical assessments as is often the case during longer periods in custody</w:t>
      </w:r>
      <w:r>
        <w:t>.</w:t>
      </w:r>
    </w:p>
    <w:p w14:paraId="254F63E5" w14:textId="77777777" w:rsidR="009628E1" w:rsidRDefault="009628E1" w:rsidP="009628E1">
      <w:r w:rsidRPr="002B2D51">
        <w:t xml:space="preserve">As individuals with certain vulnerabilities rises, the number of healthcare referrals whilst in custody </w:t>
      </w:r>
      <w:r>
        <w:t xml:space="preserve">continues to </w:t>
      </w:r>
      <w:r w:rsidRPr="002B2D51">
        <w:t>increase in conjunction</w:t>
      </w:r>
      <w:r>
        <w:t>.</w:t>
      </w:r>
    </w:p>
    <w:p w14:paraId="75BF5236" w14:textId="07EFB084" w:rsidR="00D46C3B" w:rsidRDefault="00B47878" w:rsidP="00D0268B">
      <w:r>
        <w:rPr>
          <w:noProof/>
          <w:lang w:eastAsia="en-GB"/>
        </w:rPr>
        <w:drawing>
          <wp:inline distT="0" distB="0" distL="0" distR="0" wp14:anchorId="1153655D" wp14:editId="3D9C44A7">
            <wp:extent cx="6264000" cy="720000"/>
            <wp:effectExtent l="0" t="0" r="3810" b="4445"/>
            <wp:docPr id="1894519909" name="Picture 1894519909" descr="This visualisation shows the number of arrested persons referred to partners at the end of quarter 3 compared to the previous year. The recorded YTD comparison shows 1,174 persons were referred to partners in the PYTD compared to 844 YTD. Down 28.1% on last year." title="Referred to Partners Visualis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264000" cy="720000"/>
                    </a:xfrm>
                    <a:prstGeom prst="rect">
                      <a:avLst/>
                    </a:prstGeom>
                  </pic:spPr>
                </pic:pic>
              </a:graphicData>
            </a:graphic>
          </wp:inline>
        </w:drawing>
      </w:r>
    </w:p>
    <w:p w14:paraId="56B498F3" w14:textId="55F7C16C" w:rsidR="00D0268B" w:rsidRPr="006A222A" w:rsidRDefault="00D0268B" w:rsidP="00D0268B">
      <w:pPr>
        <w:rPr>
          <w:iCs/>
        </w:rPr>
      </w:pPr>
      <w:r w:rsidRPr="006A222A">
        <w:t xml:space="preserve">The figures </w:t>
      </w:r>
      <w:r>
        <w:t>at the end of</w:t>
      </w:r>
      <w:r w:rsidRPr="006A222A">
        <w:t xml:space="preserve"> Quarter 3 indicate an overall fall in</w:t>
      </w:r>
      <w:r>
        <w:t xml:space="preserve"> </w:t>
      </w:r>
      <w:r w:rsidR="002F4DBF">
        <w:t xml:space="preserve">Third </w:t>
      </w:r>
      <w:r>
        <w:t>Sector Organisation</w:t>
      </w:r>
      <w:r w:rsidRPr="006A222A">
        <w:t xml:space="preserve"> </w:t>
      </w:r>
      <w:r>
        <w:t>(</w:t>
      </w:r>
      <w:r w:rsidRPr="006A222A">
        <w:t>TSO</w:t>
      </w:r>
      <w:r>
        <w:t>)</w:t>
      </w:r>
      <w:r w:rsidRPr="006A222A">
        <w:t xml:space="preserve"> forms received in this reporting period. The decrease is across all services areas and not limited to a particular area.</w:t>
      </w:r>
    </w:p>
    <w:p w14:paraId="367B6B6E" w14:textId="77777777" w:rsidR="002F4DBF" w:rsidRDefault="00D0268B" w:rsidP="00D0268B">
      <w:r w:rsidRPr="006A222A">
        <w:t xml:space="preserve">At the beginning of 2023, CJSD received instruction to amend the arrest referral pathway, moving away from consent based referrals to a process of seeking views under Public Task. Work has been ongoing to develop a new referral pathway, however in the interim period we have been unable to complete Information Sharing Agreements with any new </w:t>
      </w:r>
      <w:r w:rsidR="002F4DBF">
        <w:t>Thi</w:t>
      </w:r>
      <w:r w:rsidRPr="006A222A">
        <w:t>rd Sector Organisations (TSOs).</w:t>
      </w:r>
    </w:p>
    <w:p w14:paraId="695C8076" w14:textId="31D12BA8" w:rsidR="00D0268B" w:rsidRPr="006A222A" w:rsidRDefault="00D0268B" w:rsidP="00D0268B">
      <w:pPr>
        <w:rPr>
          <w:iCs/>
        </w:rPr>
      </w:pPr>
      <w:r w:rsidRPr="006A222A">
        <w:t xml:space="preserve">It is </w:t>
      </w:r>
      <w:r w:rsidR="00A05814">
        <w:t>anticipated</w:t>
      </w:r>
      <w:r w:rsidRPr="006A222A">
        <w:t xml:space="preserve"> that the new pathway will be finalised </w:t>
      </w:r>
      <w:r w:rsidR="00A05814">
        <w:t>in the short term</w:t>
      </w:r>
      <w:r w:rsidRPr="006A222A">
        <w:t>, following which there will be a formal relaunch of the arrest referral programme, including recruiting additional Custody Support and Intervention Champions. A number of discussions have taken place with TSOs and a working group is being formed to encourage ‘no closed door’ and whole person approaches to support.</w:t>
      </w:r>
    </w:p>
    <w:p w14:paraId="38496851" w14:textId="7D16B63F" w:rsidR="00D0268B" w:rsidRDefault="00D0268B" w:rsidP="002554CE">
      <w:pPr>
        <w:pStyle w:val="Heading4"/>
      </w:pPr>
      <w:r>
        <w:t>Productions</w:t>
      </w:r>
    </w:p>
    <w:p w14:paraId="098135F1" w14:textId="38BFEB55" w:rsidR="00D0268B" w:rsidRPr="00D0268B" w:rsidRDefault="00B47878" w:rsidP="00D0268B">
      <w:r>
        <w:rPr>
          <w:noProof/>
          <w:lang w:eastAsia="en-GB"/>
        </w:rPr>
        <w:drawing>
          <wp:inline distT="0" distB="0" distL="0" distR="0" wp14:anchorId="35B3ED1A" wp14:editId="258E89E3">
            <wp:extent cx="6264000" cy="2160000"/>
            <wp:effectExtent l="0" t="0" r="3810" b="0"/>
            <wp:docPr id="1894519910" name="Picture 1894519910" descr="This visualisation shows the number of productions received, disposed and accumulated at the end of quarter 3 compared to the previous year.&#10;&#10;The first section (recorded YTD comparison) shows 446,948 productions were received in the PYTD compared to 378,992 YTD. Down 15.2% on last year. 230,320 productions were disposed in the PYTD compared to 216,842 YTD. Down 5.9% on last year and 286,777 productions were accumulated in the PYTD compared to 284,892 YTD. Down 0.7% on last year.&#10;&#10;The second section (recorded YTD % comparison) shows 64.2% of productions were accumulated in terms of total received in the PYTD compared to 75.2% YTD. Up 11.0% points on last year." title="Productions Visualis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264000" cy="2160000"/>
                    </a:xfrm>
                    <a:prstGeom prst="rect">
                      <a:avLst/>
                    </a:prstGeom>
                  </pic:spPr>
                </pic:pic>
              </a:graphicData>
            </a:graphic>
          </wp:inline>
        </w:drawing>
      </w:r>
    </w:p>
    <w:p w14:paraId="77F7EE65" w14:textId="12A520FD" w:rsidR="009628E1" w:rsidRDefault="00D0268B" w:rsidP="00BF1C94">
      <w:r w:rsidRPr="00AC1454">
        <w:lastRenderedPageBreak/>
        <w:t xml:space="preserve">After a promising Quarter 1 where the number of productions disposed of had increased </w:t>
      </w:r>
      <w:r>
        <w:t>by</w:t>
      </w:r>
      <w:r w:rsidRPr="00AC1454">
        <w:t xml:space="preserve"> 5.</w:t>
      </w:r>
      <w:r>
        <w:t>5</w:t>
      </w:r>
      <w:r w:rsidRPr="00AC1454">
        <w:t>%</w:t>
      </w:r>
      <w:r>
        <w:t xml:space="preserve"> points</w:t>
      </w:r>
      <w:r w:rsidRPr="00AC1454">
        <w:t xml:space="preserve"> on the previous year, the preceding two quarters have seen this fall. </w:t>
      </w:r>
      <w:r>
        <w:t xml:space="preserve">A current shortfall in production staff </w:t>
      </w:r>
      <w:r w:rsidR="00B34F02">
        <w:t>due to</w:t>
      </w:r>
      <w:r>
        <w:t xml:space="preserve"> the recruitment freeze is having a direct impact on the reduction in disposal rates.</w:t>
      </w:r>
    </w:p>
    <w:p w14:paraId="0F037747" w14:textId="77777777" w:rsidR="002645B3" w:rsidRDefault="002645B3">
      <w:pPr>
        <w:spacing w:before="0" w:after="160" w:line="259" w:lineRule="auto"/>
      </w:pPr>
      <w:r>
        <w:br w:type="page"/>
      </w:r>
    </w:p>
    <w:p w14:paraId="3332EF07" w14:textId="337171EE" w:rsidR="004F2CA2" w:rsidRDefault="004F2CA2" w:rsidP="004F2CA2">
      <w:pPr>
        <w:pStyle w:val="Heading3"/>
      </w:pPr>
      <w:bookmarkStart w:id="54" w:name="_Toc140746131"/>
      <w:bookmarkStart w:id="55" w:name="_Toc140750246"/>
      <w:bookmarkStart w:id="56" w:name="_Toc142045264"/>
      <w:bookmarkStart w:id="57" w:name="_Toc157687364"/>
      <w:bookmarkStart w:id="58" w:name="_Toc158895843"/>
      <w:r>
        <w:lastRenderedPageBreak/>
        <w:t>Strategic Outcome 3</w:t>
      </w:r>
      <w:bookmarkEnd w:id="54"/>
      <w:bookmarkEnd w:id="55"/>
      <w:bookmarkEnd w:id="56"/>
      <w:bookmarkEnd w:id="57"/>
      <w:bookmarkEnd w:id="58"/>
    </w:p>
    <w:tbl>
      <w:tblPr>
        <w:tblStyle w:val="TableGrid1"/>
        <w:tblW w:w="9865" w:type="dxa"/>
        <w:shd w:val="clear" w:color="auto" w:fill="E76B0A"/>
        <w:tblLook w:val="04A0" w:firstRow="1" w:lastRow="0" w:firstColumn="1" w:lastColumn="0" w:noHBand="0" w:noVBand="1"/>
        <w:tblCaption w:val="Strategic Outcome 3 and Objectives"/>
        <w:tblDescription w:val="This box provides a description of Strategic Outcome 3 and the three objectives which sit under this outcome in the Annual Police Plan 2022/23."/>
      </w:tblPr>
      <w:tblGrid>
        <w:gridCol w:w="9865"/>
      </w:tblGrid>
      <w:tr w:rsidR="00BB2986" w:rsidRPr="00BB2986" w14:paraId="51D512C7" w14:textId="77777777" w:rsidTr="00CF7796">
        <w:trPr>
          <w:tblHeader/>
        </w:trPr>
        <w:tc>
          <w:tcPr>
            <w:tcW w:w="9865" w:type="dxa"/>
            <w:shd w:val="clear" w:color="auto" w:fill="E76B0A"/>
          </w:tcPr>
          <w:p w14:paraId="4408B2F0" w14:textId="2556291F" w:rsidR="004F2CA2" w:rsidRPr="00BB2986" w:rsidRDefault="004F2CA2" w:rsidP="00AA5E0E">
            <w:pPr>
              <w:pStyle w:val="TableNormal1"/>
              <w:rPr>
                <w:rFonts w:ascii="Arial" w:hAnsi="Arial" w:cs="Arial"/>
                <w:color w:val="auto"/>
                <w:sz w:val="24"/>
              </w:rPr>
            </w:pPr>
            <w:r w:rsidRPr="00BB2986">
              <w:rPr>
                <w:rFonts w:ascii="Arial" w:hAnsi="Arial" w:cs="Arial"/>
                <w:color w:val="auto"/>
                <w:sz w:val="24"/>
              </w:rPr>
              <w:t>The public, communities and partners are engaged, involved and have confidence in policing.</w:t>
            </w:r>
          </w:p>
          <w:p w14:paraId="1CC58166" w14:textId="75745D21" w:rsidR="004F2CA2" w:rsidRPr="00BB2986" w:rsidRDefault="004F2CA2" w:rsidP="00AA5E0E">
            <w:pPr>
              <w:pStyle w:val="TableNormal1"/>
              <w:rPr>
                <w:rFonts w:ascii="Arial" w:hAnsi="Arial" w:cs="Arial"/>
                <w:color w:val="auto"/>
                <w:sz w:val="28"/>
                <w:szCs w:val="24"/>
              </w:rPr>
            </w:pPr>
            <w:r w:rsidRPr="00BB2986">
              <w:rPr>
                <w:rFonts w:ascii="Arial" w:hAnsi="Arial" w:cs="Arial"/>
                <w:color w:val="auto"/>
                <w:sz w:val="24"/>
              </w:rPr>
              <w:t>Objectives:</w:t>
            </w:r>
          </w:p>
          <w:p w14:paraId="6001E238" w14:textId="77777777" w:rsidR="004F2CA2" w:rsidRPr="00BB2986" w:rsidRDefault="004F2CA2" w:rsidP="00D228ED">
            <w:pPr>
              <w:pStyle w:val="BulletTable"/>
              <w:rPr>
                <w:rFonts w:ascii="Arial" w:hAnsi="Arial" w:cs="Arial"/>
                <w:sz w:val="24"/>
                <w:szCs w:val="24"/>
              </w:rPr>
            </w:pPr>
            <w:r w:rsidRPr="00BB2986">
              <w:rPr>
                <w:rFonts w:ascii="Arial" w:hAnsi="Arial" w:cs="Arial"/>
                <w:sz w:val="24"/>
                <w:szCs w:val="24"/>
              </w:rPr>
              <w:t>Embed the ethical and privacy considerations that are integral to policing and protection into every aspect of the service</w:t>
            </w:r>
          </w:p>
          <w:p w14:paraId="43507914" w14:textId="77777777" w:rsidR="004F2CA2" w:rsidRPr="00BB2986" w:rsidRDefault="004F2CA2" w:rsidP="00D228ED">
            <w:pPr>
              <w:pStyle w:val="BulletTable"/>
              <w:rPr>
                <w:rFonts w:ascii="Arial" w:hAnsi="Arial" w:cs="Arial"/>
                <w:sz w:val="24"/>
                <w:szCs w:val="24"/>
              </w:rPr>
            </w:pPr>
            <w:r w:rsidRPr="00BB2986">
              <w:rPr>
                <w:rFonts w:ascii="Arial" w:hAnsi="Arial" w:cs="Arial"/>
                <w:sz w:val="24"/>
                <w:szCs w:val="24"/>
              </w:rPr>
              <w:t>Protect the public and promote wellbeing across Scotland by providing services that are relevant, accessible and effective</w:t>
            </w:r>
          </w:p>
          <w:p w14:paraId="0141BBFA" w14:textId="77777777" w:rsidR="004F2CA2" w:rsidRPr="00BB2986" w:rsidRDefault="004F2CA2" w:rsidP="00D228ED">
            <w:pPr>
              <w:pStyle w:val="BulletTable"/>
            </w:pPr>
            <w:r w:rsidRPr="00BB2986">
              <w:rPr>
                <w:rFonts w:ascii="Arial" w:hAnsi="Arial" w:cs="Arial"/>
                <w:sz w:val="24"/>
                <w:szCs w:val="24"/>
              </w:rPr>
              <w:t>Work with local groups and public, third and private sector organisations to support our communities</w:t>
            </w:r>
          </w:p>
        </w:tc>
      </w:tr>
    </w:tbl>
    <w:p w14:paraId="08D583DB" w14:textId="77777777" w:rsidR="00F95A03" w:rsidRDefault="00F95A03" w:rsidP="002554CE">
      <w:pPr>
        <w:pStyle w:val="Heading4"/>
      </w:pPr>
      <w:bookmarkStart w:id="59" w:name="Confidence"/>
      <w:bookmarkEnd w:id="59"/>
      <w:r w:rsidRPr="0087741A">
        <w:t>Public Confidence and Experience of Policing</w:t>
      </w:r>
    </w:p>
    <w:p w14:paraId="69A7A81C" w14:textId="04419321" w:rsidR="00863FB1" w:rsidRDefault="00863FB1" w:rsidP="00863FB1">
      <w:r>
        <w:t>Police Scotland continues to measure and enhance understanding of public confidence, trust and user experience within local and specialist policing – delivering engagement and insights for performance, scrutiny, local police planning and service improvement across portfolios.</w:t>
      </w:r>
    </w:p>
    <w:p w14:paraId="0FD3592C" w14:textId="1FEF2724" w:rsidR="00863FB1" w:rsidRDefault="00863FB1" w:rsidP="00863FB1">
      <w:r>
        <w:t>This work includes keeping public, colleagues and communities engaged and involved with financial and proposed service changes so that the service can continue to police by consent and ensure our policing model meets the needs of communities. Our focus is on high risk, threat and harm in adapting how we do things to connect with communities for enhancing safety and protection.</w:t>
      </w:r>
    </w:p>
    <w:p w14:paraId="765F49C1" w14:textId="77777777" w:rsidR="00863FB1" w:rsidRDefault="00863FB1" w:rsidP="00863FB1">
      <w:r>
        <w:t>The areas we know impact public confidence, trust and user experience can be addressed by focusing on:</w:t>
      </w:r>
    </w:p>
    <w:p w14:paraId="4F0D8957" w14:textId="32D844AA" w:rsidR="00863FB1" w:rsidRDefault="00863FB1" w:rsidP="00863FB1">
      <w:pPr>
        <w:pStyle w:val="Bullets"/>
      </w:pPr>
      <w:r>
        <w:t xml:space="preserve">Police culture, values and behaviours particularly how we show up for and support victims and communities. </w:t>
      </w:r>
    </w:p>
    <w:p w14:paraId="555ABA34" w14:textId="77777777" w:rsidR="00863FB1" w:rsidRDefault="00863FB1" w:rsidP="00863FB1">
      <w:pPr>
        <w:pStyle w:val="Bullets"/>
      </w:pPr>
      <w:r>
        <w:t>Ease of contact, accessibility and availability of local and specialist police services.</w:t>
      </w:r>
    </w:p>
    <w:p w14:paraId="14A63070" w14:textId="77777777" w:rsidR="00863FB1" w:rsidRDefault="00863FB1" w:rsidP="00863FB1">
      <w:pPr>
        <w:pStyle w:val="Bullets"/>
      </w:pPr>
      <w:r>
        <w:t>Community safety and resilience through crime prevention and protection.</w:t>
      </w:r>
    </w:p>
    <w:p w14:paraId="0BCFE7F0" w14:textId="77777777" w:rsidR="00863FB1" w:rsidRDefault="00863FB1" w:rsidP="00863FB1">
      <w:pPr>
        <w:pStyle w:val="Bullets"/>
      </w:pPr>
      <w:r>
        <w:t>Keeping communities informed about what policing is doing to manage crime and concerns within local communities.</w:t>
      </w:r>
    </w:p>
    <w:p w14:paraId="2A400606" w14:textId="77777777" w:rsidR="00863FB1" w:rsidRDefault="00863FB1" w:rsidP="002554CE">
      <w:pPr>
        <w:pStyle w:val="Heading4"/>
      </w:pPr>
      <w:r>
        <w:t>Research and Engagement Activities</w:t>
      </w:r>
    </w:p>
    <w:p w14:paraId="0A76DE4F" w14:textId="77777777" w:rsidR="00863FB1" w:rsidRDefault="00863FB1" w:rsidP="00863FB1">
      <w:r>
        <w:t>Our continuous national surveys, community engagement and research enable the service to understand what we do well, what is influencing confidence, and where we need to focus efforts for enhancing the user experience.</w:t>
      </w:r>
    </w:p>
    <w:p w14:paraId="0D3B3905" w14:textId="6F9ED6AE" w:rsidR="00863FB1" w:rsidRDefault="00550FC8" w:rsidP="00863FB1">
      <w:hyperlink r:id="rId55" w:history="1">
        <w:r w:rsidR="00863FB1" w:rsidRPr="00761403">
          <w:rPr>
            <w:rStyle w:val="Hyperlink"/>
          </w:rPr>
          <w:t>Your Police 2023-24 survey</w:t>
        </w:r>
      </w:hyperlink>
      <w:r w:rsidR="00863FB1">
        <w:t xml:space="preserve"> – our local police survey is open to anyone who lives in Scotland at any time to share their views and feedback on policing in their area, including feelings of safety. The survey is one of the largest of its kind in the UK and continues to </w:t>
      </w:r>
      <w:r w:rsidR="00863FB1">
        <w:lastRenderedPageBreak/>
        <w:t xml:space="preserve">receive a robust and representative response (10,943 responses this financial </w:t>
      </w:r>
      <w:r w:rsidR="002F4DBF">
        <w:t xml:space="preserve">year, with 2,598 in </w:t>
      </w:r>
      <w:r w:rsidR="00F23112">
        <w:t>Q</w:t>
      </w:r>
      <w:r w:rsidR="002F4DBF">
        <w:t>uarter 3).</w:t>
      </w:r>
    </w:p>
    <w:p w14:paraId="340730C3" w14:textId="0540E8EE" w:rsidR="00863FB1" w:rsidRDefault="00550FC8" w:rsidP="00863FB1">
      <w:hyperlink r:id="rId56" w:history="1">
        <w:r w:rsidR="00863FB1" w:rsidRPr="000F53D9">
          <w:rPr>
            <w:rStyle w:val="Hyperlink"/>
          </w:rPr>
          <w:t>User Experience Survey</w:t>
        </w:r>
      </w:hyperlink>
      <w:r w:rsidR="00863FB1">
        <w:t xml:space="preserve"> – our independent survey to measure and enhance people’s experience of contacting Police Scotland. The survey is sent via text message to 14,000 people who have contacted the police each month, 3,935 responses were received in </w:t>
      </w:r>
      <w:r w:rsidR="008A18A5">
        <w:t>Q</w:t>
      </w:r>
      <w:r w:rsidR="00863FB1">
        <w:t>uarter 3. The methodology for capturing user experience feedback now includes victim-survivors of sexual crime and hate crime (approximately 300 responses in previous two quar</w:t>
      </w:r>
      <w:r w:rsidR="002F4DBF">
        <w:t>ters).</w:t>
      </w:r>
    </w:p>
    <w:p w14:paraId="12E6684F" w14:textId="0802E0F3" w:rsidR="00863FB1" w:rsidRDefault="00863FB1" w:rsidP="00863FB1">
      <w:r>
        <w:t>Last year we introduced a public Trust Index survey to a broadly representative sample of around 1,000 adults in Scotland each quarter. Respondents are asked about the service to understand their sentiment towards policing and what may be impacting trust in Police Sc</w:t>
      </w:r>
      <w:r w:rsidR="002F4DBF">
        <w:t>otland as an institution/brand.</w:t>
      </w:r>
    </w:p>
    <w:p w14:paraId="204C03FB" w14:textId="38B4C66B" w:rsidR="00863FB1" w:rsidRDefault="00550FC8" w:rsidP="00863FB1">
      <w:hyperlink r:id="rId57" w:history="1">
        <w:r w:rsidR="00863FB1" w:rsidRPr="000F53D9">
          <w:rPr>
            <w:rStyle w:val="Hyperlink"/>
          </w:rPr>
          <w:t>Estates engagement</w:t>
        </w:r>
      </w:hyperlink>
      <w:r w:rsidR="00863FB1">
        <w:t xml:space="preserve"> – an open and inclusive national conversation on our estates transformation programme and engagement with proposed changes to local estates was launched on our engagement hub in December 2023 and will continue to support all proposals within local areas.</w:t>
      </w:r>
    </w:p>
    <w:p w14:paraId="7A6B7D82" w14:textId="0BB016A1" w:rsidR="00863FB1" w:rsidRDefault="00863FB1" w:rsidP="00863FB1">
      <w:r>
        <w:t xml:space="preserve">Our </w:t>
      </w:r>
      <w:hyperlink r:id="rId58" w:history="1">
        <w:r w:rsidRPr="000F53D9">
          <w:rPr>
            <w:rStyle w:val="Hyperlink"/>
          </w:rPr>
          <w:t>engagement hub</w:t>
        </w:r>
      </w:hyperlink>
      <w:r>
        <w:t xml:space="preserve"> provides visibility and transparency of national and local engagement activities including ‘you said, we listened, we did/doing’ feedback. The engagement hub also shows </w:t>
      </w:r>
      <w:hyperlink r:id="rId59" w:history="1">
        <w:r w:rsidRPr="000F53D9">
          <w:rPr>
            <w:rStyle w:val="Hyperlink"/>
          </w:rPr>
          <w:t>case studies of community engagement</w:t>
        </w:r>
      </w:hyperlink>
      <w:r>
        <w:t xml:space="preserve"> within local policing, including police-academic research collaborations, aligned to the drivers of public confidence.</w:t>
      </w:r>
    </w:p>
    <w:p w14:paraId="7DEFAC0A" w14:textId="77777777" w:rsidR="00863FB1" w:rsidRDefault="00863FB1" w:rsidP="002554CE">
      <w:pPr>
        <w:pStyle w:val="Heading4"/>
      </w:pPr>
      <w:r>
        <w:t>Key Findings</w:t>
      </w:r>
    </w:p>
    <w:p w14:paraId="774902EB" w14:textId="2A245295" w:rsidR="00863FB1" w:rsidRDefault="00863FB1" w:rsidP="00863FB1">
      <w:r>
        <w:t>There are differences between confidence, trust and user experience, which considered together, provide a rich story about how policing is perceived and experienced. Public confidence is about our legitimacy and enables us to continue to police by consent, while trust is about our brand and reputation, associated with organisational competence i.e. professionalism, responsivene</w:t>
      </w:r>
      <w:r w:rsidR="00761403">
        <w:t xml:space="preserve">ss, reliability and knowledge. </w:t>
      </w:r>
      <w:r>
        <w:t>User experience measures satisfaction with contacting the police across critical elem</w:t>
      </w:r>
      <w:r w:rsidR="002F4DBF">
        <w:t>ents in the end-to-end journey.</w:t>
      </w:r>
    </w:p>
    <w:p w14:paraId="2376C136" w14:textId="4C0B42A7" w:rsidR="00863FB1" w:rsidRDefault="00863FB1" w:rsidP="00863FB1">
      <w:r>
        <w:t xml:space="preserve">Public confidence, trust and user experience is summarised in the </w:t>
      </w:r>
      <w:r w:rsidR="002F4DBF">
        <w:t>following graph</w:t>
      </w:r>
      <w:r>
        <w:t>. There are improvements on user experience and public trust on the previous quarter, with public confidence staying the same. While overall user experience and trust has remained consistent over time, public confidence in local policing has fluctuated. In comparison, the YouGov monthly tracker shows improvements in perceptions of Scottish policing with confidence</w:t>
      </w:r>
      <w:r w:rsidR="00761403">
        <w:t xml:space="preserve"> at 45% in </w:t>
      </w:r>
      <w:r w:rsidR="008A18A5">
        <w:t>Q</w:t>
      </w:r>
      <w:r w:rsidR="00761403">
        <w:t xml:space="preserve">uarter 3 (up </w:t>
      </w:r>
      <w:r>
        <w:t>4%</w:t>
      </w:r>
      <w:r w:rsidR="00761403">
        <w:t xml:space="preserve"> points</w:t>
      </w:r>
      <w:r>
        <w:t xml:space="preserve"> on previous quarter) and agreement that polic</w:t>
      </w:r>
      <w:r w:rsidR="00761403">
        <w:t xml:space="preserve">e are doing a good job at 49% (up </w:t>
      </w:r>
      <w:r>
        <w:t>2%</w:t>
      </w:r>
      <w:r w:rsidR="00761403">
        <w:t xml:space="preserve"> points</w:t>
      </w:r>
      <w:r>
        <w:t>), compared to the UK averages of 40% and 49% respectiv</w:t>
      </w:r>
      <w:r w:rsidR="002F4DBF">
        <w:t>ely which have stayed the same.</w:t>
      </w:r>
    </w:p>
    <w:p w14:paraId="3AEAD947" w14:textId="714513AA" w:rsidR="00863FB1" w:rsidRDefault="00863FB1" w:rsidP="004F7574">
      <w:r>
        <w:rPr>
          <w:noProof/>
          <w:lang w:eastAsia="en-GB"/>
        </w:rPr>
        <w:lastRenderedPageBreak/>
        <w:drawing>
          <wp:inline distT="0" distB="0" distL="0" distR="0" wp14:anchorId="02106742" wp14:editId="6E6262E9">
            <wp:extent cx="5953522" cy="2879725"/>
            <wp:effectExtent l="0" t="0" r="9525" b="0"/>
            <wp:docPr id="1669007997" name="Picture 1669007997" descr="The visualisation shows the Trust Index scores from 7,031 respondents; User Experience satisfaction from 27,022 respondents and Your Police Public Confidence from 27,842 respondents covering the periods: quarter 1 2022/23 through to quarter 3 2023/24.&#10;&#10;The grey line shows the trust index score was 80% from 1,001 respondents in quarter 1; 80% from 1,005 respondents in quarter 2 2022/23; 78% from 1,012 respondents in quarter 3 2022/23; 75% from 1,004 respondents in quarter 4 2022/23; 76% from 1,006 respondents in quarter 1 2023/24; 75% from 1,001 respondents in quarter 2 2023/24 and 78% from 1,002 respondents in quarter 3 2023/24.&#10;&#10;The orange line shows user experience satisfaction was 67% from 3,752 respondents in quarter 1; 66% from 3,783 respondents in quarter 2 2022/23; 69% from 3,933 respondents in quarter 3 2022/23; 70% from 3,908 respondents in quarter 4 2022/23; 68% from 3,885 respondents in quarter 1 2023/24; 66% from 3,826 respondents in quarter 2 2023/24 and 69% from 3,935 respondents in quarter 3 2023/24.&#10;&#10;The blue line shows Your Police public confidence was 51% from 945 respondents in quarter 1; 52% from 10,243 respondents in quarter 2 2022/23; 49% from 3,781 respondents in quarter 3 2022/23; 48% from 1,929 respondents in quarter 4 2022/23; 43% from 275 respondents in quarter 1 2023/24; 50% from 8,071 respondents in quarter 2 2023/24 and 49% from 2,598 respondents in quarter 3 2023/24.&#10;" title="Trust, User Experience &amp; Public Confidence Visualis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preferRelativeResize="0">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5957937" cy="2881861"/>
                    </a:xfrm>
                    <a:prstGeom prst="rect">
                      <a:avLst/>
                    </a:prstGeom>
                    <a:noFill/>
                    <a:ln>
                      <a:noFill/>
                    </a:ln>
                  </pic:spPr>
                </pic:pic>
              </a:graphicData>
            </a:graphic>
          </wp:inline>
        </w:drawing>
      </w:r>
    </w:p>
    <w:p w14:paraId="5691EC19" w14:textId="77777777" w:rsidR="00863FB1" w:rsidRDefault="00863FB1" w:rsidP="002554CE">
      <w:pPr>
        <w:pStyle w:val="Heading4"/>
      </w:pPr>
      <w:r>
        <w:t>Experience of contact and determinants of user satisfaction</w:t>
      </w:r>
    </w:p>
    <w:p w14:paraId="371B5658" w14:textId="5B62AB80" w:rsidR="00863FB1" w:rsidRDefault="00863FB1" w:rsidP="00863FB1">
      <w:r>
        <w:t xml:space="preserve">Findings show high and stable levels of satisfaction with contact. Figures for </w:t>
      </w:r>
      <w:r w:rsidR="008A18A5">
        <w:t>Q</w:t>
      </w:r>
      <w:r>
        <w:t>uarter 3 are summarised below and where there have been changes on previous quarter:</w:t>
      </w:r>
    </w:p>
    <w:p w14:paraId="2ECC50F3" w14:textId="294C3357" w:rsidR="00863FB1" w:rsidRDefault="00761403" w:rsidP="00761403">
      <w:pPr>
        <w:pStyle w:val="Bullets"/>
      </w:pPr>
      <w:r>
        <w:t xml:space="preserve">Ease of contact – 72% (up </w:t>
      </w:r>
      <w:r w:rsidR="00863FB1">
        <w:t>3</w:t>
      </w:r>
      <w:r>
        <w:t>% points</w:t>
      </w:r>
      <w:r w:rsidR="00863FB1">
        <w:t>)</w:t>
      </w:r>
    </w:p>
    <w:p w14:paraId="6F4A5217" w14:textId="6B583EEF" w:rsidR="00863FB1" w:rsidRDefault="00863FB1" w:rsidP="00761403">
      <w:pPr>
        <w:pStyle w:val="Bullets"/>
      </w:pPr>
      <w:r>
        <w:t xml:space="preserve">Treatment by staff member during initial contact – 84% </w:t>
      </w:r>
    </w:p>
    <w:p w14:paraId="113C3811" w14:textId="50AAFA3C" w:rsidR="00863FB1" w:rsidRDefault="00863FB1" w:rsidP="00761403">
      <w:pPr>
        <w:pStyle w:val="Bullets"/>
      </w:pPr>
      <w:r>
        <w:t xml:space="preserve">Staff understanding what they needed – 86% </w:t>
      </w:r>
    </w:p>
    <w:p w14:paraId="4E3F9374" w14:textId="744E0DD4" w:rsidR="00863FB1" w:rsidRDefault="00863FB1" w:rsidP="00761403">
      <w:pPr>
        <w:pStyle w:val="Bullets"/>
      </w:pPr>
      <w:r>
        <w:t xml:space="preserve">Police providing the appropriate response – 62% </w:t>
      </w:r>
    </w:p>
    <w:p w14:paraId="7808BA94" w14:textId="5213EE71" w:rsidR="00863FB1" w:rsidRDefault="00863FB1" w:rsidP="00761403">
      <w:pPr>
        <w:pStyle w:val="Bullets"/>
      </w:pPr>
      <w:r>
        <w:t>Treatment by officers who attended the incident - 81%</w:t>
      </w:r>
    </w:p>
    <w:p w14:paraId="01EAC01F" w14:textId="5EF004D3" w:rsidR="00863FB1" w:rsidRDefault="00863FB1" w:rsidP="00761403">
      <w:pPr>
        <w:pStyle w:val="Bullets"/>
      </w:pPr>
      <w:r>
        <w:t>Being adequately informed about progress – 47% (</w:t>
      </w:r>
      <w:r w:rsidR="00761403">
        <w:t xml:space="preserve">up </w:t>
      </w:r>
      <w:r>
        <w:t>2%</w:t>
      </w:r>
      <w:r w:rsidR="00761403">
        <w:t xml:space="preserve"> points</w:t>
      </w:r>
      <w:r>
        <w:t xml:space="preserve">) </w:t>
      </w:r>
    </w:p>
    <w:p w14:paraId="55461EEC" w14:textId="518A1B70" w:rsidR="00863FB1" w:rsidRDefault="00863FB1" w:rsidP="00863FB1">
      <w:r>
        <w:t>Positive experiences are correlated most strongly with receiving an appropriate response, satisfaction with attending officers and feeling adequately</w:t>
      </w:r>
      <w:r w:rsidR="00761403">
        <w:t xml:space="preserve"> informed about case progress. </w:t>
      </w:r>
      <w:r>
        <w:t>Callers tell us their experience was positive because contact was ‘easy’ with quick answer times on 101/999; and service advisors and attending officers took the time to listen and understand their needs, bringing empathy to interactions.</w:t>
      </w:r>
    </w:p>
    <w:p w14:paraId="7AD030D8" w14:textId="77777777" w:rsidR="00761403" w:rsidRDefault="00761403" w:rsidP="002554CE">
      <w:pPr>
        <w:pStyle w:val="Heading4"/>
      </w:pPr>
      <w:r>
        <w:t xml:space="preserve">Factors influencing confidence in local policing </w:t>
      </w:r>
    </w:p>
    <w:p w14:paraId="1FEED125" w14:textId="63EC0E8D" w:rsidR="00761403" w:rsidRDefault="00761403" w:rsidP="00761403">
      <w:r>
        <w:t xml:space="preserve">We know that confidence is closely affected by how policing is experienced and perceived locally. In </w:t>
      </w:r>
      <w:r w:rsidR="008A18A5">
        <w:t>Q</w:t>
      </w:r>
      <w:r>
        <w:t>uarter 3, 78% of survey respondents reported feeling very safe or fairly safe in their area; 60% agreed that local police are friendly and approachable; and 27% agree local p</w:t>
      </w:r>
      <w:r w:rsidR="002F4DBF">
        <w:t>olice listen to local concerns.</w:t>
      </w:r>
    </w:p>
    <w:p w14:paraId="27DA49E4" w14:textId="3533ACF9" w:rsidR="00761403" w:rsidRDefault="00761403" w:rsidP="00761403">
      <w:r>
        <w:t>Analysis shows confidence in local policing and feeling safe in local areas is influenced by police visibility, community policing and engagement, and being kept informed about how crime is being managed</w:t>
      </w:r>
      <w:r w:rsidR="002F4DBF">
        <w:t xml:space="preserve"> and prevented in their areas.</w:t>
      </w:r>
    </w:p>
    <w:p w14:paraId="7C51744F" w14:textId="6335CC79" w:rsidR="00761403" w:rsidRDefault="00761403" w:rsidP="00761403">
      <w:r>
        <w:lastRenderedPageBreak/>
        <w:t xml:space="preserve">People who self-reported as having recently (in the past six months) been a victim/witness of crime (n=828) and those living in areas most affected by poverty (n=449) reported the least confidence in local police. When asked what the police could do to support the community more, the key themes for these groups were related to </w:t>
      </w:r>
      <w:r w:rsidRPr="00761403">
        <w:rPr>
          <w:rStyle w:val="Strong"/>
        </w:rPr>
        <w:t>visibility</w:t>
      </w:r>
      <w:r>
        <w:t xml:space="preserve"> and </w:t>
      </w:r>
      <w:r w:rsidRPr="00761403">
        <w:rPr>
          <w:rStyle w:val="Strong"/>
        </w:rPr>
        <w:t>policing response to tackling crime</w:t>
      </w:r>
      <w:r>
        <w:t>.</w:t>
      </w:r>
    </w:p>
    <w:p w14:paraId="5BE7FBA6" w14:textId="77777777" w:rsidR="00761403" w:rsidRDefault="00761403" w:rsidP="002554CE">
      <w:pPr>
        <w:pStyle w:val="Heading4"/>
      </w:pPr>
      <w:r>
        <w:t xml:space="preserve">Public trust score and predictors </w:t>
      </w:r>
    </w:p>
    <w:p w14:paraId="6DAE005E" w14:textId="2EA85CF2" w:rsidR="00761403" w:rsidRDefault="00761403" w:rsidP="00761403">
      <w:r>
        <w:t>Results have remained relatively stable, between 75%-80% since the public trust survey was introduced in June 2022. The Trust Index score in January 2024 was 78%, increasing from 75% on the previous quarter. The Trust Index score combines data from eight organisational characteristics (professionalism, compassion, responsiveness, reliability, knowledge, experience, t</w:t>
      </w:r>
      <w:r w:rsidR="002F4DBF">
        <w:t>rustworthiness, and modernity).</w:t>
      </w:r>
    </w:p>
    <w:p w14:paraId="36E6B05D" w14:textId="76E29CF5" w:rsidR="002219A1" w:rsidRPr="002F4DBF" w:rsidRDefault="00761403" w:rsidP="00761403">
      <w:r>
        <w:t>Most people continue to feel Police Scotland upholds its core values, with the proportion of respondents who felt police uphold the values of Respect (71%), Human Rights (70%), Fairness (69%) and Integrity (70%) increasing from last Quarter. This will continue to be monitored throughout the reporting year to identify and understand contributing factors.</w:t>
      </w:r>
    </w:p>
    <w:p w14:paraId="4CD66F2D" w14:textId="77777777" w:rsidR="00CF394E" w:rsidRDefault="00CF394E" w:rsidP="002554CE">
      <w:pPr>
        <w:pStyle w:val="Heading4"/>
      </w:pPr>
      <w:r>
        <w:t>Complaints about the Police</w:t>
      </w:r>
    </w:p>
    <w:p w14:paraId="307F3BE7" w14:textId="2467C2F7" w:rsidR="008F2098" w:rsidRDefault="00B47878" w:rsidP="002554CE">
      <w:pPr>
        <w:pStyle w:val="Heading4"/>
      </w:pPr>
      <w:r>
        <w:rPr>
          <w:noProof/>
          <w:lang w:eastAsia="en-GB"/>
        </w:rPr>
        <w:drawing>
          <wp:inline distT="0" distB="0" distL="0" distR="0" wp14:anchorId="3BAF5552" wp14:editId="52E3DAE5">
            <wp:extent cx="6264000" cy="3708000"/>
            <wp:effectExtent l="0" t="0" r="3810" b="6985"/>
            <wp:docPr id="1894519911" name="Picture 1894519911" descr="This visualisation shows complaints and allegations data at the end of Quarter 3 compared to the previous year and last five-years.&#10;&#10;The first section (recorded YTD comparison) shows 4,980 complaints from members of the public PYTD compared to 5,512 YTD. Up 10.7% on last year. The six month sparkline shows the highest volume of complaints in August (694) and lowest volume in December (506). There were 8,883 allegations from members of the public PYTD compared to 8,235 YTD. Down 7.3% on last year. The six month sparkline shows the highest volume of allegations in August (1,035) and lowest volume in December (720). There were 144 PIRC complaint handling reviews (CHRs) PYTD compared to 112 YTD. Down 22.2% on last year. There were 693 allegations considered by PIRC (CHRs) PYTD compared to 608 YTD. Down 12.3% on last year. There were 282 on duty assault allegations referred to PIRC PYTD compared to 266 YTD. Down 5.7% on last year.&#10;&#10;The second section (recorded five-year comparison) shows the five-year mean for complaints from members of the public was 4,939 complaints PYTD compared to 5,513 YTD. Up 11.6% on five-year mean. The five-year mean for allegations from members of the public was 8,886 allegations PYTD compared to 8,235 YTD. Down 7.3% on five-year mean.&#10;&#10;The third section (recorded YTD % comparison) shows 16.2% of closed allegations were upheld PYTD compared to 15.6% YTD. Down 0.6% points on last year. 73.2% of reviewed allegations were handled to a reasonable standard PYTD compared to 58.2% YTD. Down 15.0% on last year. 20.9% of these cases were subject to PIRC investigations PYTD compared to 19.5% YTD. Down 1.4% on last year." title="Professional Standards Visualis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264000" cy="3708000"/>
                    </a:xfrm>
                    <a:prstGeom prst="rect">
                      <a:avLst/>
                    </a:prstGeom>
                  </pic:spPr>
                </pic:pic>
              </a:graphicData>
            </a:graphic>
          </wp:inline>
        </w:drawing>
      </w:r>
    </w:p>
    <w:p w14:paraId="16B9C65D" w14:textId="2EEB5EED" w:rsidR="00AF1072" w:rsidRDefault="00AF1072" w:rsidP="002554CE">
      <w:pPr>
        <w:pStyle w:val="Heading4"/>
      </w:pPr>
      <w:r>
        <w:t>P</w:t>
      </w:r>
      <w:r w:rsidR="003F62DE">
        <w:t>rofessional Standards Department</w:t>
      </w:r>
    </w:p>
    <w:p w14:paraId="3CBA6C4E" w14:textId="06BC8A3C" w:rsidR="00060115" w:rsidRDefault="00060115" w:rsidP="00060115">
      <w:r>
        <w:t xml:space="preserve">The Professional Standards Department (PSD) has resolved </w:t>
      </w:r>
      <w:r w:rsidR="000F49C9">
        <w:t>2,739</w:t>
      </w:r>
      <w:r>
        <w:t xml:space="preserve"> complaints (49.7%) by Frontline Resolution (FLR) compared with 49.2% in the same period in 2022/23. This includes early resolution and subsequent resolution by PSD/specialist officers.</w:t>
      </w:r>
    </w:p>
    <w:p w14:paraId="2BE36C14" w14:textId="1EA71965" w:rsidR="00060115" w:rsidRDefault="00060115" w:rsidP="00060115">
      <w:r>
        <w:lastRenderedPageBreak/>
        <w:t xml:space="preserve">There were </w:t>
      </w:r>
      <w:r w:rsidR="000F49C9">
        <w:t>3,263</w:t>
      </w:r>
      <w:r>
        <w:t xml:space="preserve"> allegations attached to completed complaint investigations (criminal and non-criminal) with </w:t>
      </w:r>
      <w:r w:rsidR="00ED3CD7">
        <w:t>15.6%</w:t>
      </w:r>
      <w:r>
        <w:t xml:space="preserve"> of these being upheld.</w:t>
      </w:r>
    </w:p>
    <w:p w14:paraId="494FA512" w14:textId="4974F364" w:rsidR="00060115" w:rsidRDefault="00060115" w:rsidP="00060115">
      <w:r>
        <w:t>Allegations of On Duty Assault (breaches of Article 3 of the European Convention on Human Rights), plus any associated criminal allegations, are now referred to the</w:t>
      </w:r>
      <w:r w:rsidR="008A18A5">
        <w:t xml:space="preserve"> Police Investigations &amp; Review Commissioner</w:t>
      </w:r>
      <w:r>
        <w:t xml:space="preserve"> </w:t>
      </w:r>
      <w:r w:rsidR="008A18A5">
        <w:t>(</w:t>
      </w:r>
      <w:r>
        <w:t>PIRC</w:t>
      </w:r>
      <w:r w:rsidR="008A18A5">
        <w:t>)</w:t>
      </w:r>
      <w:r>
        <w:t xml:space="preserve">. In total, </w:t>
      </w:r>
      <w:r w:rsidR="00ED3CD7">
        <w:t xml:space="preserve">270 </w:t>
      </w:r>
      <w:r>
        <w:t xml:space="preserve">allegations of On Duty Assault referrals were made to the PIRC during this period. Of those, </w:t>
      </w:r>
      <w:r w:rsidR="00ED3CD7">
        <w:t xml:space="preserve">55 </w:t>
      </w:r>
      <w:r>
        <w:t>are subject to the PIRC investigation (</w:t>
      </w:r>
      <w:r w:rsidR="00ED3CD7">
        <w:t>20.4%</w:t>
      </w:r>
      <w:r>
        <w:t xml:space="preserve">). However, as of </w:t>
      </w:r>
      <w:r w:rsidR="00ED3CD7">
        <w:t xml:space="preserve">01 </w:t>
      </w:r>
      <w:r>
        <w:t xml:space="preserve">January 2024, </w:t>
      </w:r>
      <w:r w:rsidR="00ED3CD7">
        <w:t xml:space="preserve">39 </w:t>
      </w:r>
      <w:r>
        <w:t xml:space="preserve">of these referrals are awaiting a decision from PIRC regarding possible investigation. The remaining </w:t>
      </w:r>
      <w:r w:rsidR="00ED3CD7">
        <w:t xml:space="preserve">176 </w:t>
      </w:r>
      <w:r>
        <w:t>cases have been marked as no investigation by PIRC.</w:t>
      </w:r>
    </w:p>
    <w:p w14:paraId="78AE5D6F" w14:textId="2A29DA70" w:rsidR="00BF1C94" w:rsidRPr="00E314B5" w:rsidRDefault="00060115" w:rsidP="00BF1C94">
      <w:r>
        <w:t xml:space="preserve">PIRC submitted 112 Complaint Handling Reviews (CHRs) to Police Scotland for consideration during this period. This notionally equates to </w:t>
      </w:r>
      <w:r w:rsidR="00ED3CD7">
        <w:t>2.0%</w:t>
      </w:r>
      <w:r>
        <w:t xml:space="preserve"> of all complaints. The 112 CHRs received from PIRC considered 608 allegations, with 354 (58.2%) assessed to have been handled to a reasonable standard. This is a decrease of 15.0% points from the same period in 2022/23. These CHRs included 181 recommendations.</w:t>
      </w:r>
    </w:p>
    <w:p w14:paraId="70423362" w14:textId="77777777" w:rsidR="00AF1072" w:rsidRDefault="00060115" w:rsidP="00AF1072">
      <w:r>
        <w:t xml:space="preserve">Statutory referrals to PIRC facilitate independent and transparent scrutiny in relation to serious incidents involving the police. Police Scotland made 220 referrals to PIRC resulting in 30 investigations (13.6%) at the end of Quarter </w:t>
      </w:r>
      <w:r w:rsidR="00AF1072">
        <w:t>3</w:t>
      </w:r>
      <w:r>
        <w:t xml:space="preserve"> 2023/24. This is a decrease of 5.4% points compared to the same period last year.</w:t>
      </w:r>
    </w:p>
    <w:p w14:paraId="2AED2AB1" w14:textId="74F9E255" w:rsidR="002219A1" w:rsidRDefault="00AF1072" w:rsidP="00A56FAB">
      <w:r>
        <w:t>There were 368 preliminary conduct assessments undertaken YTD which is up 28.7% (82 more assessments) on the same period last year. 52 assessments have required a misconduct/gross misconduct investigation with the remaining assessments either misconduct – no investigation or no misconduct.</w:t>
      </w:r>
    </w:p>
    <w:p w14:paraId="1842E19A" w14:textId="30DDA606" w:rsidR="00797A7A" w:rsidRDefault="00797A7A" w:rsidP="00797A7A">
      <w:pPr>
        <w:pStyle w:val="Heading4"/>
      </w:pPr>
      <w:r w:rsidRPr="00797A7A">
        <w:t>PSD Disseminated Learning during this Quarter</w:t>
      </w:r>
    </w:p>
    <w:p w14:paraId="22B73FE1" w14:textId="67DFCCA1" w:rsidR="00797A7A" w:rsidRDefault="00797A7A" w:rsidP="00797A7A">
      <w:pPr>
        <w:pStyle w:val="Bullets"/>
      </w:pPr>
      <w:r>
        <w:t>The North East Division Body Worn Video Guidance Document has been reviewed and amended. This has been circulated to all North East officers in response to a PIRC investigation.</w:t>
      </w:r>
    </w:p>
    <w:p w14:paraId="6B1A4CA3" w14:textId="3C4D9675" w:rsidR="00797A7A" w:rsidRDefault="00797A7A" w:rsidP="00797A7A">
      <w:pPr>
        <w:pStyle w:val="Bullets"/>
      </w:pPr>
      <w:r>
        <w:t>A recent PIRC investigation report highlighted the value of officers carrying Naloxone, where it can be utilised to potentially save lives.</w:t>
      </w:r>
    </w:p>
    <w:p w14:paraId="6AFB085E" w14:textId="0782A2F2" w:rsidR="00797A7A" w:rsidRDefault="00797A7A" w:rsidP="00797A7A">
      <w:pPr>
        <w:pStyle w:val="Bullets"/>
      </w:pPr>
      <w:r>
        <w:t>Upheld Quality of Service allegations regarding persons in custody not receiving drinking water led to a review and engagement with Criminal Justice to consider current practices, identify learning and make improvements. A short life working group has been set up to discuss options with staff engagement forums planned in February.</w:t>
      </w:r>
    </w:p>
    <w:p w14:paraId="5BFDC0E3" w14:textId="097AC033" w:rsidR="00797A7A" w:rsidRDefault="00797A7A" w:rsidP="00797A7A">
      <w:pPr>
        <w:pStyle w:val="Bullets"/>
      </w:pPr>
      <w:r>
        <w:t>Work is underway with C3 to review current guidance and identify improvements that can be made. In consultation with PIRC, work is being undertaken to produce accurate guidance in relation to PSD/</w:t>
      </w:r>
      <w:r w:rsidRPr="00797A7A">
        <w:t>Complaints</w:t>
      </w:r>
      <w:r>
        <w:t xml:space="preserve"> against the Police and PIRC provisions in order to support C3 staff and provide the best possible service to the public at an early stage.</w:t>
      </w:r>
    </w:p>
    <w:p w14:paraId="2E883D67" w14:textId="77777777" w:rsidR="00033425" w:rsidRDefault="00033425">
      <w:pPr>
        <w:spacing w:before="0" w:after="160" w:line="259" w:lineRule="auto"/>
        <w:rPr>
          <w:rFonts w:eastAsiaTheme="majorEastAsia" w:cstheme="majorBidi"/>
          <w:b/>
          <w:sz w:val="28"/>
        </w:rPr>
      </w:pPr>
      <w:bookmarkStart w:id="60" w:name="_Toc140746132"/>
      <w:bookmarkStart w:id="61" w:name="_Toc140750247"/>
      <w:bookmarkStart w:id="62" w:name="_Toc142045265"/>
      <w:bookmarkStart w:id="63" w:name="_Toc157687365"/>
      <w:r>
        <w:br w:type="page"/>
      </w:r>
    </w:p>
    <w:p w14:paraId="4CA2F57C" w14:textId="3179F3BC" w:rsidR="00AA5E0E" w:rsidRDefault="00AA5E0E" w:rsidP="00AA5E0E">
      <w:pPr>
        <w:pStyle w:val="Heading3"/>
      </w:pPr>
      <w:bookmarkStart w:id="64" w:name="_Toc158895844"/>
      <w:r>
        <w:lastRenderedPageBreak/>
        <w:t>Strategic Outcome 4</w:t>
      </w:r>
      <w:bookmarkEnd w:id="60"/>
      <w:bookmarkEnd w:id="61"/>
      <w:bookmarkEnd w:id="62"/>
      <w:bookmarkEnd w:id="63"/>
      <w:bookmarkEnd w:id="64"/>
    </w:p>
    <w:tbl>
      <w:tblPr>
        <w:tblStyle w:val="TableGrid1"/>
        <w:tblW w:w="9865" w:type="dxa"/>
        <w:shd w:val="clear" w:color="auto" w:fill="DABF00"/>
        <w:tblLook w:val="04A0" w:firstRow="1" w:lastRow="0" w:firstColumn="1" w:lastColumn="0" w:noHBand="0" w:noVBand="1"/>
        <w:tblCaption w:val="Strategic Outcome 4 and Objectives"/>
        <w:tblDescription w:val="This box provides a description of Strategic Outcome 4 and the three objectives which sit under this outcome in the Annual Police Plan 2022/23."/>
      </w:tblPr>
      <w:tblGrid>
        <w:gridCol w:w="9865"/>
      </w:tblGrid>
      <w:tr w:rsidR="00CF7796" w:rsidRPr="00CF7796" w14:paraId="2B4CAEBE" w14:textId="77777777" w:rsidTr="00CF7796">
        <w:trPr>
          <w:tblHeader/>
        </w:trPr>
        <w:tc>
          <w:tcPr>
            <w:tcW w:w="9865" w:type="dxa"/>
            <w:shd w:val="clear" w:color="auto" w:fill="DABF00"/>
          </w:tcPr>
          <w:p w14:paraId="1C992D86" w14:textId="73DF8E3A" w:rsidR="00AA5E0E" w:rsidRPr="00CF7796" w:rsidRDefault="00AA5E0E" w:rsidP="00AA5E0E">
            <w:pPr>
              <w:pStyle w:val="TableNormal1"/>
              <w:rPr>
                <w:rFonts w:ascii="Arial" w:hAnsi="Arial" w:cs="Arial"/>
                <w:color w:val="auto"/>
                <w:sz w:val="24"/>
              </w:rPr>
            </w:pPr>
            <w:r w:rsidRPr="00CF7796">
              <w:rPr>
                <w:rFonts w:ascii="Arial" w:hAnsi="Arial" w:cs="Arial"/>
                <w:color w:val="auto"/>
                <w:sz w:val="24"/>
              </w:rPr>
              <w:t>Our people are supported through a positive working environment, enabling them to serve the public.</w:t>
            </w:r>
          </w:p>
          <w:p w14:paraId="3B743084" w14:textId="77777777" w:rsidR="00AA5E0E" w:rsidRPr="00CF7796" w:rsidRDefault="00AA5E0E" w:rsidP="00AA5E0E">
            <w:pPr>
              <w:pStyle w:val="TableNormal1"/>
              <w:rPr>
                <w:rFonts w:ascii="Arial" w:hAnsi="Arial" w:cs="Arial"/>
                <w:color w:val="auto"/>
                <w:sz w:val="24"/>
              </w:rPr>
            </w:pPr>
            <w:r w:rsidRPr="00CF7796">
              <w:rPr>
                <w:rFonts w:ascii="Arial" w:hAnsi="Arial" w:cs="Arial"/>
                <w:color w:val="auto"/>
                <w:sz w:val="24"/>
              </w:rPr>
              <w:t>Objectives:</w:t>
            </w:r>
          </w:p>
          <w:p w14:paraId="737612B0" w14:textId="77777777" w:rsidR="00AA5E0E" w:rsidRPr="00CF7796" w:rsidRDefault="00AA5E0E" w:rsidP="00D228ED">
            <w:pPr>
              <w:pStyle w:val="BulletTable"/>
              <w:rPr>
                <w:rFonts w:ascii="Arial" w:hAnsi="Arial" w:cs="Arial"/>
                <w:sz w:val="24"/>
                <w:szCs w:val="24"/>
              </w:rPr>
            </w:pPr>
            <w:r w:rsidRPr="00CF7796">
              <w:rPr>
                <w:rFonts w:ascii="Arial" w:hAnsi="Arial" w:cs="Arial"/>
                <w:sz w:val="24"/>
                <w:szCs w:val="24"/>
              </w:rPr>
              <w:t>Prioritise wellbeing and keep our people safe, well equipped and protected</w:t>
            </w:r>
          </w:p>
          <w:p w14:paraId="13B7E8DE" w14:textId="77777777" w:rsidR="00AA5E0E" w:rsidRPr="00CF7796" w:rsidRDefault="00AA5E0E" w:rsidP="00D228ED">
            <w:pPr>
              <w:pStyle w:val="BulletTable"/>
              <w:rPr>
                <w:rFonts w:ascii="Arial" w:hAnsi="Arial" w:cs="Arial"/>
                <w:sz w:val="24"/>
                <w:szCs w:val="24"/>
              </w:rPr>
            </w:pPr>
            <w:r w:rsidRPr="00CF7796">
              <w:rPr>
                <w:rFonts w:ascii="Arial" w:hAnsi="Arial" w:cs="Arial"/>
                <w:sz w:val="24"/>
                <w:szCs w:val="24"/>
              </w:rPr>
              <w:t>Support our people to be confident leaders, innovative, active contributors and influencers</w:t>
            </w:r>
          </w:p>
          <w:p w14:paraId="116D5B1A" w14:textId="77777777" w:rsidR="00AA5E0E" w:rsidRPr="00CF7796" w:rsidRDefault="00AA5E0E" w:rsidP="00D228ED">
            <w:pPr>
              <w:pStyle w:val="BulletTable"/>
            </w:pPr>
            <w:r w:rsidRPr="00CF7796">
              <w:rPr>
                <w:rFonts w:ascii="Arial" w:hAnsi="Arial" w:cs="Arial"/>
                <w:sz w:val="24"/>
                <w:szCs w:val="24"/>
              </w:rPr>
              <w:t>Support our people to identify with and demonstrate Police Scotland values and have a strong sense of belonging</w:t>
            </w:r>
          </w:p>
        </w:tc>
      </w:tr>
    </w:tbl>
    <w:p w14:paraId="1C544BAE" w14:textId="7584F1D8" w:rsidR="00851DF6" w:rsidRDefault="000F0BB8" w:rsidP="002554CE">
      <w:pPr>
        <w:pStyle w:val="Heading4"/>
      </w:pPr>
      <w:r w:rsidRPr="000F0BB8">
        <w:t>Assaults on Police Officers and Police Staff</w:t>
      </w:r>
    </w:p>
    <w:p w14:paraId="7E1A591E" w14:textId="6E5AEB8D" w:rsidR="00653EF5" w:rsidRDefault="00B47878" w:rsidP="00BF1C94">
      <w:r>
        <w:rPr>
          <w:noProof/>
          <w:lang w:eastAsia="en-GB"/>
        </w:rPr>
        <w:drawing>
          <wp:inline distT="0" distB="0" distL="0" distR="0" wp14:anchorId="310B6F45" wp14:editId="65AAE092">
            <wp:extent cx="6264000" cy="3420000"/>
            <wp:effectExtent l="0" t="0" r="3810" b="9525"/>
            <wp:docPr id="1894519912" name="Picture 1894519912" descr="This visualisation shows assault of police officers and police staff at the end of Quarter 3 compared to the previous year and last five-years.&#10;&#10;The first section (recorded YTD comparison) shows 5,016 assaults of emergency workers (police officer/staff) offences PYTD compared to 5,164 YTD. Up 3.0% on last year. The six month sparkline shows the highest volume of offences in July (644) and lowest in September (525). There were 25 assault RIDDORS PYTD compared to 26 YTD. Up 4.0% on last year. There were 1.0 assault RIDDORS per 1k employment PYTD compared to 1.1 YTD. Up 10.0% on last year.&#10;The second section (recorded five-year comparison) shows the five-year mean for assaults of emergency workers (police officer/staff) offences was 5,219.2 compared to 5,264 YTD. Down 1.1% on five-year mean. The five-year sparkline shows the highest volume of offences in 2020/21 YTD (5,630) and lowest volume in 2022/23 YTD (5,164).&#10;The third section (recorded three-year comparison) shows the three-year mean for assault RIDDORS is 28.0 compared to 26 YTD. Down 7.1% on three-year mean.&#10;The fourth section (recorded YTD % comparison) shows 26.8% of assaults leading to injury PYTD compared to 25.8% YTD. Down 1.0% points on last year.&#10;&#10;The fifth section (recorded three-year % comparison) shows the three-year mean for assaults leading to injury was 30.2% compared to 25.8% YTD. Down 4.4% points on three-year mean." title="Assaults on Police Officers/Police Staff Visualis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264000" cy="3420000"/>
                    </a:xfrm>
                    <a:prstGeom prst="rect">
                      <a:avLst/>
                    </a:prstGeom>
                  </pic:spPr>
                </pic:pic>
              </a:graphicData>
            </a:graphic>
          </wp:inline>
        </w:drawing>
      </w:r>
      <w:r w:rsidR="004604DA" w:rsidDel="004604DA">
        <w:rPr>
          <w:noProof/>
          <w:lang w:eastAsia="en-GB"/>
        </w:rPr>
        <w:t xml:space="preserve"> </w:t>
      </w:r>
    </w:p>
    <w:p w14:paraId="6BB25F10" w14:textId="67C082F4" w:rsidR="00593720" w:rsidRDefault="00593720" w:rsidP="00593720">
      <w:bookmarkStart w:id="65" w:name="_Toc140746133"/>
      <w:bookmarkStart w:id="66" w:name="_Toc140750248"/>
      <w:bookmarkStart w:id="67" w:name="_Toc142045266"/>
      <w:r>
        <w:t>In 2023/24, there have been 5,164 reported assaults against officers and staff, averaging to about 19 assaults per day. While this represents an increase of 148 assaults (</w:t>
      </w:r>
      <w:r w:rsidR="00934030">
        <w:t xml:space="preserve">up </w:t>
      </w:r>
      <w:r>
        <w:t>3.0%) compared to the previous year</w:t>
      </w:r>
      <w:r w:rsidR="00934030">
        <w:t xml:space="preserve">, it marks a decrease of 55.2 (down </w:t>
      </w:r>
      <w:r>
        <w:t xml:space="preserve">1.1%) from the five-year </w:t>
      </w:r>
      <w:r w:rsidR="00934030">
        <w:t>mean</w:t>
      </w:r>
      <w:r>
        <w:t>. Furthermore, the number of assaults per 1,000 incidents attended has risen from eight in 2022/23 to nine in 2023/24.</w:t>
      </w:r>
    </w:p>
    <w:p w14:paraId="588055A1" w14:textId="46A35997" w:rsidR="00593720" w:rsidRDefault="00593720" w:rsidP="00593720">
      <w:r>
        <w:t>Despite these overall increases in assaults, the injury rate has seen a consistent decline, dropping to 25.8% compared to the previous year (</w:t>
      </w:r>
      <w:r w:rsidR="00934030">
        <w:t xml:space="preserve">down </w:t>
      </w:r>
      <w:r>
        <w:t>1.0 percentage points) and the three-y</w:t>
      </w:r>
      <w:r w:rsidR="00934030">
        <w:t xml:space="preserve">ear average (down </w:t>
      </w:r>
      <w:r>
        <w:t>4.4 percentage points). Notably, Police Scotland reported a decrease of 28 officers/staff (</w:t>
      </w:r>
      <w:r w:rsidR="00934030">
        <w:t xml:space="preserve">down </w:t>
      </w:r>
      <w:r>
        <w:t>14.7%) requiring hospital treatment after assaults in 2023/24 compared to the previous year.</w:t>
      </w:r>
    </w:p>
    <w:p w14:paraId="3B31A44A" w14:textId="45537CEF" w:rsidR="00593720" w:rsidRDefault="00593720" w:rsidP="00593720">
      <w:r>
        <w:lastRenderedPageBreak/>
        <w:t>Police Scotland, through the Your Safety Matters group, has maintained efforts to encourage the reporting of assaults to both Health and Safety and Use of Force departments. This proactive approach further enriches Police Scotland’s datasets for performance reporting and advanced analytics. In 2023/24, Police Scotland's reporting rate of assaults to Health and Safety has increased to 79.7% (</w:t>
      </w:r>
      <w:r w:rsidR="00934030">
        <w:t xml:space="preserve">up </w:t>
      </w:r>
      <w:r>
        <w:t>8.1 percentage points), with no division reporting below 57%.</w:t>
      </w:r>
    </w:p>
    <w:p w14:paraId="6140E75E" w14:textId="3826B41C" w:rsidR="00E170E2" w:rsidRDefault="00FF0AE5" w:rsidP="002554CE">
      <w:pPr>
        <w:pStyle w:val="Heading4"/>
      </w:pPr>
      <w:r>
        <w:t>Health and Wellbeing</w:t>
      </w:r>
    </w:p>
    <w:p w14:paraId="54578557" w14:textId="77777777" w:rsidR="00FF0AE5" w:rsidRPr="00CB2F9E" w:rsidRDefault="00FF0AE5" w:rsidP="00FF0AE5">
      <w:r w:rsidRPr="00CB2F9E">
        <w:t>The Health and Wellbeing of our officers and staff is fundamental to the delivery of policing in Scotland</w:t>
      </w:r>
      <w:r>
        <w:t xml:space="preserve"> and t</w:t>
      </w:r>
      <w:r w:rsidRPr="00CB2F9E">
        <w:t>he organisation remains committed to supporting our workforce as they work tirelessly in challenging environments to meet the policing needs of Scotland’s communities.</w:t>
      </w:r>
    </w:p>
    <w:p w14:paraId="3CA345AE" w14:textId="2EE92B8B" w:rsidR="00FF0AE5" w:rsidRDefault="00FF0AE5" w:rsidP="00FF0AE5">
      <w:r>
        <w:t xml:space="preserve">The two graphs below show the absence rate for both police officers and staff over the past three years as well as this financial year-to-date. For context, the pillars on both graphs indicate key vaccination milestones during the COVID-19 pandemic </w:t>
      </w:r>
      <w:r w:rsidRPr="003E764F">
        <w:t>which, following 70% uptake of the second vaccination,</w:t>
      </w:r>
      <w:r>
        <w:t xml:space="preserve"> began moving </w:t>
      </w:r>
      <w:r w:rsidRPr="003E764F">
        <w:t>absence rates towards a general</w:t>
      </w:r>
      <w:r>
        <w:t xml:space="preserve"> downward trend.</w:t>
      </w:r>
    </w:p>
    <w:p w14:paraId="4A08FA90" w14:textId="0A127991" w:rsidR="00033425" w:rsidRDefault="00FF0AE5" w:rsidP="004A4498">
      <w:r>
        <w:t>P</w:t>
      </w:r>
      <w:r w:rsidRPr="004B647A">
        <w:t xml:space="preserve">sychological </w:t>
      </w:r>
      <w:r>
        <w:t>d</w:t>
      </w:r>
      <w:r w:rsidRPr="004B647A">
        <w:t xml:space="preserve">isorders remain the highest cause of sickness absence for </w:t>
      </w:r>
      <w:r>
        <w:t>o</w:t>
      </w:r>
      <w:r w:rsidRPr="004B647A">
        <w:t xml:space="preserve">fficers </w:t>
      </w:r>
      <w:r w:rsidR="00297EAE">
        <w:t>and</w:t>
      </w:r>
      <w:r w:rsidRPr="004B647A">
        <w:t xml:space="preserve"> </w:t>
      </w:r>
      <w:r>
        <w:t>s</w:t>
      </w:r>
      <w:r w:rsidRPr="004B647A">
        <w:t>taff this quarter, with 2%</w:t>
      </w:r>
      <w:r>
        <w:t xml:space="preserve"> of workdays</w:t>
      </w:r>
      <w:r w:rsidRPr="004B647A">
        <w:t xml:space="preserve"> lost </w:t>
      </w:r>
      <w:r>
        <w:t xml:space="preserve">being attributed to psychological disorders </w:t>
      </w:r>
      <w:r w:rsidRPr="004B647A">
        <w:t xml:space="preserve">for </w:t>
      </w:r>
      <w:r>
        <w:t>o</w:t>
      </w:r>
      <w:r w:rsidRPr="004B647A">
        <w:t xml:space="preserve">fficers </w:t>
      </w:r>
      <w:r>
        <w:t>and</w:t>
      </w:r>
      <w:r w:rsidRPr="004B647A">
        <w:t xml:space="preserve"> 2.</w:t>
      </w:r>
      <w:r>
        <w:t>4</w:t>
      </w:r>
      <w:r w:rsidRPr="004B647A">
        <w:t xml:space="preserve">% for </w:t>
      </w:r>
      <w:r>
        <w:t>s</w:t>
      </w:r>
      <w:r w:rsidRPr="004B647A">
        <w:t xml:space="preserve">taff. This represents a </w:t>
      </w:r>
      <w:r>
        <w:t xml:space="preserve">slight decrease </w:t>
      </w:r>
      <w:r w:rsidRPr="004B647A">
        <w:t>0.</w:t>
      </w:r>
      <w:r>
        <w:t>1</w:t>
      </w:r>
      <w:r w:rsidRPr="004B647A">
        <w:t xml:space="preserve">% </w:t>
      </w:r>
      <w:r>
        <w:t>for o</w:t>
      </w:r>
      <w:r w:rsidRPr="004B647A">
        <w:t>fficers and 0.</w:t>
      </w:r>
      <w:r>
        <w:t>1</w:t>
      </w:r>
      <w:r w:rsidRPr="004B647A">
        <w:t xml:space="preserve">% </w:t>
      </w:r>
      <w:r>
        <w:t xml:space="preserve">increase </w:t>
      </w:r>
      <w:r w:rsidRPr="004B647A">
        <w:t xml:space="preserve">for </w:t>
      </w:r>
      <w:r>
        <w:t>s</w:t>
      </w:r>
      <w:r w:rsidRPr="004B647A">
        <w:t>taff</w:t>
      </w:r>
      <w:r>
        <w:t xml:space="preserve"> when compared with the previous quarter. When compared with Q</w:t>
      </w:r>
      <w:r w:rsidR="009A7F69">
        <w:t xml:space="preserve">uarter </w:t>
      </w:r>
      <w:r>
        <w:t>3 in the previous financial year, it shows an increase of 0.2% for officers and 0.9% for staff.</w:t>
      </w:r>
    </w:p>
    <w:p w14:paraId="5A63B0D7" w14:textId="558142D9" w:rsidR="00FF0AE5" w:rsidRDefault="00FF0AE5" w:rsidP="004F7574">
      <w:r>
        <w:rPr>
          <w:noProof/>
          <w:lang w:eastAsia="en-GB"/>
        </w:rPr>
        <w:drawing>
          <wp:inline distT="0" distB="0" distL="0" distR="0" wp14:anchorId="73A41509" wp14:editId="70140EE3">
            <wp:extent cx="6264000" cy="2700000"/>
            <wp:effectExtent l="0" t="0" r="3810" b="5715"/>
            <wp:docPr id="10" name="Picture 10" descr="This visualisation shows the percentage of working day lost in relation to overall sickness absence for police officers (light blue line) and police staff (dark blue line) by fiscal quarter from Quarter 1 2020/21 through to Quarter 3 2023/24.&#10;&#10;Police Officer absences were at their lowest in Quarter 2 2020/21 at 4.9% with the highest absence rates noted during the Covid period in Quarter 4 2021/22 at 10.1%. Police officer absence rates have been on an upward trend during this reporting year rising from 5.8% in Quarter 1 to 6.7% in Quarter 2 and 6.9% in Quarter 3, however remain below the average mean.&#10;&#10;Police Staff absence rates followed the same pattern with the lowest in Quarter 2 2020/21 at 5.2% and the highest in Quarter 4 2021/22 at 9.2%. Police staff absence rates have also been on an upward trends during this reporting year, rising from 6.1% in Quarter 1 to 6.6% in Quarter 2 and 7.0% in Quarter, though they also remain below the average mean.&#10;" title="Percentage Working Days Lost Overall Sickness Absence Visualis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graph with blue lines and numbers&#10;&#10;Description automatically generated"/>
                    <pic:cNvPicPr preferRelativeResize="0"/>
                  </pic:nvPicPr>
                  <pic:blipFill>
                    <a:blip r:embed="rId64"/>
                    <a:stretch>
                      <a:fillRect/>
                    </a:stretch>
                  </pic:blipFill>
                  <pic:spPr>
                    <a:xfrm>
                      <a:off x="0" y="0"/>
                      <a:ext cx="6264000" cy="2700000"/>
                    </a:xfrm>
                    <a:prstGeom prst="rect">
                      <a:avLst/>
                    </a:prstGeom>
                    <a:ln>
                      <a:noFill/>
                    </a:ln>
                  </pic:spPr>
                </pic:pic>
              </a:graphicData>
            </a:graphic>
          </wp:inline>
        </w:drawing>
      </w:r>
    </w:p>
    <w:p w14:paraId="6A857C34" w14:textId="77777777" w:rsidR="00FF0AE5" w:rsidRDefault="00FF0AE5" w:rsidP="004F7574">
      <w:r>
        <w:rPr>
          <w:noProof/>
          <w:lang w:eastAsia="en-GB"/>
        </w:rPr>
        <w:lastRenderedPageBreak/>
        <w:drawing>
          <wp:inline distT="0" distB="0" distL="0" distR="0" wp14:anchorId="2B6B6B5B" wp14:editId="5B8F5281">
            <wp:extent cx="6264000" cy="2700000"/>
            <wp:effectExtent l="0" t="0" r="3810" b="5715"/>
            <wp:docPr id="18" name="Picture 18" descr="This visualisation shows the percentage of working day lost in relation to psychological disorder for police officers (light blue line) and police staff (dark blue line) by fiscal quarter from Quarter 1 2020/21 through to Quarter 3 2023/24.&#10;&#10;Police Officer absence rates were at their lowest in Quarter 4 2020/21 and Quarter 1 2021/22 at 1.1% however they have been rising since particularly during this reporting year. Police officer absence rates peaked in Quarter 2 2023/24 at 2.1% and remain above the average mean in Quarter 3 2023/24 at 2.0%.&#10;&#10;Police Staff absence rates were at their lowest in Quarter 3 2022/23 at 1.5% but have increased quarter on quarter since with the highest absence rates recorded in Quarter 3 2023/24 at 2.4%. Police staff absence rates are above the average mean in each quarter of this reporting year.&#10;" title="Percentage Working Days Lost Psychological Disorder Visualis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 graph with blue lines&#10;&#10;Description automatically generated"/>
                    <pic:cNvPicPr preferRelativeResize="0"/>
                  </pic:nvPicPr>
                  <pic:blipFill>
                    <a:blip r:embed="rId65"/>
                    <a:stretch>
                      <a:fillRect/>
                    </a:stretch>
                  </pic:blipFill>
                  <pic:spPr>
                    <a:xfrm>
                      <a:off x="0" y="0"/>
                      <a:ext cx="6264000" cy="2700000"/>
                    </a:xfrm>
                    <a:prstGeom prst="rect">
                      <a:avLst/>
                    </a:prstGeom>
                  </pic:spPr>
                </pic:pic>
              </a:graphicData>
            </a:graphic>
          </wp:inline>
        </w:drawing>
      </w:r>
    </w:p>
    <w:p w14:paraId="51669BE0" w14:textId="77777777" w:rsidR="00FF0AE5" w:rsidRDefault="00FF0AE5" w:rsidP="00FF0AE5">
      <w:r>
        <w:t xml:space="preserve">Recognising </w:t>
      </w:r>
      <w:r w:rsidRPr="001D797A">
        <w:t>the</w:t>
      </w:r>
      <w:r w:rsidRPr="00894D57">
        <w:t xml:space="preserve"> prevalence of psychological ill-health, our Health &amp; Wellbeing (HWB) programme continues to place focus on prevention and </w:t>
      </w:r>
      <w:r>
        <w:t>supporting</w:t>
      </w:r>
      <w:r w:rsidRPr="00894D57">
        <w:t xml:space="preserve"> psychological resilience</w:t>
      </w:r>
      <w:r w:rsidRPr="001D797A">
        <w:t>.</w:t>
      </w:r>
      <w:r w:rsidRPr="00894D57">
        <w:t xml:space="preserve"> </w:t>
      </w:r>
      <w:r w:rsidRPr="001D797A">
        <w:t xml:space="preserve">Over the last quarter, the following activity has been progressed </w:t>
      </w:r>
      <w:r>
        <w:t>in</w:t>
      </w:r>
      <w:r w:rsidRPr="001D797A">
        <w:t xml:space="preserve"> support of our people’s Health and Wellbeing:</w:t>
      </w:r>
    </w:p>
    <w:p w14:paraId="6876BA96" w14:textId="77777777" w:rsidR="00FF0AE5" w:rsidRPr="00FF0AE5" w:rsidRDefault="00FF0AE5" w:rsidP="002554CE">
      <w:pPr>
        <w:pStyle w:val="Heading4"/>
      </w:pPr>
      <w:r w:rsidRPr="00FF0AE5">
        <w:t xml:space="preserve">Independent Health and Wellbeing Evaluation and Review </w:t>
      </w:r>
    </w:p>
    <w:p w14:paraId="41CC67B0" w14:textId="6B5207FF" w:rsidR="00FF0AE5" w:rsidRPr="00D50E02" w:rsidRDefault="00FF0AE5" w:rsidP="0066489F">
      <w:r w:rsidRPr="00D50E02">
        <w:t xml:space="preserve">An </w:t>
      </w:r>
      <w:r>
        <w:t>i</w:t>
      </w:r>
      <w:r w:rsidRPr="00D50E02">
        <w:t xml:space="preserve">ndependent </w:t>
      </w:r>
      <w:r>
        <w:t>h</w:t>
      </w:r>
      <w:r w:rsidRPr="00D50E02">
        <w:t xml:space="preserve">ealth and </w:t>
      </w:r>
      <w:r>
        <w:t>w</w:t>
      </w:r>
      <w:r w:rsidRPr="00D50E02">
        <w:t xml:space="preserve">ellbeing </w:t>
      </w:r>
      <w:r>
        <w:t>e</w:t>
      </w:r>
      <w:r w:rsidRPr="00D50E02">
        <w:t xml:space="preserve">valuation and </w:t>
      </w:r>
      <w:r>
        <w:t>r</w:t>
      </w:r>
      <w:r w:rsidRPr="00D50E02">
        <w:t xml:space="preserve">eview is </w:t>
      </w:r>
      <w:r>
        <w:t>currently ongoing</w:t>
      </w:r>
      <w:r w:rsidRPr="00D50E02">
        <w:t xml:space="preserve"> </w:t>
      </w:r>
      <w:r>
        <w:t>by</w:t>
      </w:r>
      <w:r w:rsidRPr="00D50E02">
        <w:t xml:space="preserve"> specialists in organisational health and wellbeing</w:t>
      </w:r>
      <w:r>
        <w:t>.</w:t>
      </w:r>
      <w:r w:rsidRPr="00D50E02">
        <w:t xml:space="preserve"> It is anticipated this will be completed by the end of February 2024 </w:t>
      </w:r>
      <w:r>
        <w:t>with</w:t>
      </w:r>
      <w:r w:rsidRPr="00D50E02">
        <w:t xml:space="preserve"> the key objectives of the review includ</w:t>
      </w:r>
      <w:r>
        <w:t xml:space="preserve">ing, </w:t>
      </w:r>
      <w:r w:rsidR="00AA1E4F">
        <w:t>but not limited to:</w:t>
      </w:r>
    </w:p>
    <w:p w14:paraId="59B2AB72" w14:textId="4509A225" w:rsidR="00FF0AE5" w:rsidRPr="00D50E02" w:rsidRDefault="00FF0AE5" w:rsidP="00002CFD">
      <w:pPr>
        <w:pStyle w:val="Bullets"/>
      </w:pPr>
      <w:r w:rsidRPr="00D50E02">
        <w:t>Under</w:t>
      </w:r>
      <w:r>
        <w:t>take</w:t>
      </w:r>
      <w:r w:rsidRPr="00D50E02">
        <w:t xml:space="preserve"> a full review of the current health and wellbeing approaches within PS/SPA.</w:t>
      </w:r>
    </w:p>
    <w:p w14:paraId="36680C75" w14:textId="33EA7708" w:rsidR="00FF0AE5" w:rsidRPr="00D50E02" w:rsidRDefault="00FF0AE5" w:rsidP="00002CFD">
      <w:pPr>
        <w:pStyle w:val="Bullets"/>
      </w:pPr>
      <w:r w:rsidRPr="00D50E02">
        <w:t>Report on the current health and wellbeing approaches and whether they are deemed to be appropriate and effective.</w:t>
      </w:r>
    </w:p>
    <w:p w14:paraId="50B2A863" w14:textId="00AF24E9" w:rsidR="00FF0AE5" w:rsidRPr="00D50E02" w:rsidRDefault="00FF0AE5" w:rsidP="00002CFD">
      <w:pPr>
        <w:pStyle w:val="Bullets"/>
      </w:pPr>
      <w:r w:rsidRPr="00D50E02">
        <w:t>Provide recommendations for any adaptations to current health and wellbeing approaches.</w:t>
      </w:r>
    </w:p>
    <w:p w14:paraId="70F2CD88" w14:textId="44EAEF62" w:rsidR="00FF0AE5" w:rsidRDefault="00FF0AE5" w:rsidP="00002CFD">
      <w:pPr>
        <w:pStyle w:val="Bullets"/>
      </w:pPr>
      <w:r w:rsidRPr="00002CFD">
        <w:t>Provide</w:t>
      </w:r>
      <w:r w:rsidRPr="00D50E02">
        <w:t xml:space="preserve"> expert insight and guidance on </w:t>
      </w:r>
      <w:r w:rsidR="00133DF7">
        <w:t>developing outcomes and evidencing the</w:t>
      </w:r>
      <w:r w:rsidRPr="00D50E02">
        <w:t xml:space="preserve"> impact that the wellbeing </w:t>
      </w:r>
      <w:r w:rsidR="00133DF7">
        <w:t>approach</w:t>
      </w:r>
      <w:r w:rsidRPr="00D50E02">
        <w:t xml:space="preserve"> is having.</w:t>
      </w:r>
    </w:p>
    <w:p w14:paraId="4A8FE7E8" w14:textId="77777777" w:rsidR="00FF0AE5" w:rsidRPr="00FF0AE5" w:rsidRDefault="00FF0AE5" w:rsidP="002554CE">
      <w:pPr>
        <w:pStyle w:val="Heading4"/>
      </w:pPr>
      <w:r w:rsidRPr="00FF0AE5">
        <w:t>Wellbeing Champions Network</w:t>
      </w:r>
    </w:p>
    <w:p w14:paraId="0DC09D6E" w14:textId="752A9BA2" w:rsidR="00FF0AE5" w:rsidRPr="006C0634" w:rsidRDefault="00FF0AE5" w:rsidP="0066489F">
      <w:r w:rsidRPr="006C0634">
        <w:t xml:space="preserve">The relaunch of our Wellbeing Champions Network continues to progress and it is expected </w:t>
      </w:r>
      <w:r w:rsidR="00002CFD">
        <w:t xml:space="preserve">to </w:t>
      </w:r>
      <w:r w:rsidRPr="006C0634">
        <w:t>complete by early February with a total of 246 champions in place. Features of the network now include a</w:t>
      </w:r>
      <w:r>
        <w:t xml:space="preserve"> MS</w:t>
      </w:r>
      <w:r w:rsidRPr="006C0634">
        <w:t xml:space="preserve"> Teams </w:t>
      </w:r>
      <w:r>
        <w:t>c</w:t>
      </w:r>
      <w:r w:rsidRPr="006C0634">
        <w:t xml:space="preserve">hannel for the network to communicate, initial </w:t>
      </w:r>
      <w:r>
        <w:t xml:space="preserve">continuous professional development </w:t>
      </w:r>
      <w:r w:rsidRPr="006C0634">
        <w:t>in the form of Lifelines Scotland training delivered by our own facilitators, a new monthly online check in for Champions and a Wellbeing Champions SharePoint site where Champions can access information and track their proactive a</w:t>
      </w:r>
      <w:r w:rsidR="00AA1E4F">
        <w:t>ctivity.</w:t>
      </w:r>
    </w:p>
    <w:p w14:paraId="6CE73195" w14:textId="77777777" w:rsidR="00FF0AE5" w:rsidRPr="00FF0AE5" w:rsidRDefault="00FF0AE5" w:rsidP="002554CE">
      <w:pPr>
        <w:pStyle w:val="Heading4"/>
      </w:pPr>
      <w:r w:rsidRPr="00FF0AE5">
        <w:lastRenderedPageBreak/>
        <w:t>Lifelines Scotland Facilitator Programme</w:t>
      </w:r>
    </w:p>
    <w:p w14:paraId="16B12278" w14:textId="39DFAB5E" w:rsidR="009917A3" w:rsidRDefault="00FF0AE5" w:rsidP="0066489F">
      <w:pPr>
        <w:rPr>
          <w:rFonts w:cs="Arial"/>
        </w:rPr>
      </w:pPr>
      <w:r w:rsidRPr="007417CC">
        <w:rPr>
          <w:rFonts w:cs="Arial"/>
        </w:rPr>
        <w:t xml:space="preserve">The </w:t>
      </w:r>
      <w:r>
        <w:rPr>
          <w:rFonts w:cs="Arial"/>
        </w:rPr>
        <w:t xml:space="preserve">Lifelines </w:t>
      </w:r>
      <w:r w:rsidRPr="007417CC">
        <w:rPr>
          <w:rFonts w:cs="Arial"/>
        </w:rPr>
        <w:t>Facilitator programme, enabling officers and staff to facilitate crucial Lifelines resilience, self-care and post trauma support training through a Police Scotland and peer support lens, continues to gather pace with significant engagement from all</w:t>
      </w:r>
      <w:r w:rsidR="00AA1E4F">
        <w:rPr>
          <w:rFonts w:cs="Arial"/>
        </w:rPr>
        <w:t xml:space="preserve"> areas within the organisation.</w:t>
      </w:r>
    </w:p>
    <w:p w14:paraId="65290165" w14:textId="0CC98A36" w:rsidR="009917A3" w:rsidRDefault="009917A3" w:rsidP="009917A3">
      <w:pPr>
        <w:rPr>
          <w:rFonts w:cs="Arial"/>
        </w:rPr>
      </w:pPr>
      <w:r>
        <w:rPr>
          <w:rFonts w:cs="Arial"/>
        </w:rPr>
        <w:t>F</w:t>
      </w:r>
      <w:r w:rsidRPr="009917A3">
        <w:rPr>
          <w:rFonts w:cs="Arial"/>
        </w:rPr>
        <w:t>ollowing feedback</w:t>
      </w:r>
      <w:r>
        <w:rPr>
          <w:rFonts w:cs="Arial"/>
        </w:rPr>
        <w:t xml:space="preserve"> collated during the evaluation;</w:t>
      </w:r>
      <w:r w:rsidRPr="009917A3">
        <w:rPr>
          <w:rFonts w:cs="Arial"/>
        </w:rPr>
        <w:t xml:space="preserve"> Health and Wellbeing are developing a mental health action plan which is scheduled to come to the Wellbeing Governance Board in Q</w:t>
      </w:r>
      <w:r w:rsidR="00D17C60">
        <w:rPr>
          <w:rFonts w:cs="Arial"/>
        </w:rPr>
        <w:t xml:space="preserve">uarter </w:t>
      </w:r>
      <w:r w:rsidRPr="009917A3">
        <w:rPr>
          <w:rFonts w:cs="Arial"/>
        </w:rPr>
        <w:t>1 2024/</w:t>
      </w:r>
      <w:r w:rsidR="00AA1E4F">
        <w:rPr>
          <w:rFonts w:cs="Arial"/>
        </w:rPr>
        <w:t>2</w:t>
      </w:r>
      <w:r w:rsidRPr="009917A3">
        <w:rPr>
          <w:rFonts w:cs="Arial"/>
        </w:rPr>
        <w:t>5 with the Lifelines Scotland Facilitator Programme at the core of this. In the meantime, work continues to get facilitators trained and signed off and Health and Wellbeing will be loo</w:t>
      </w:r>
      <w:r>
        <w:rPr>
          <w:rFonts w:cs="Arial"/>
        </w:rPr>
        <w:t>k</w:t>
      </w:r>
      <w:r w:rsidRPr="009917A3">
        <w:rPr>
          <w:rFonts w:cs="Arial"/>
        </w:rPr>
        <w:t>ing to undertake a further evaluation of the programme as work progresses.</w:t>
      </w:r>
    </w:p>
    <w:p w14:paraId="7153B714" w14:textId="44B19258" w:rsidR="00FF0AE5" w:rsidRPr="007417CC" w:rsidRDefault="002D6406" w:rsidP="0066489F">
      <w:pPr>
        <w:rPr>
          <w:rFonts w:cs="Arial"/>
        </w:rPr>
      </w:pPr>
      <w:r>
        <w:rPr>
          <w:rFonts w:cs="Arial"/>
        </w:rPr>
        <w:t xml:space="preserve">A total of </w:t>
      </w:r>
      <w:r w:rsidR="00FF0AE5" w:rsidRPr="007417CC">
        <w:rPr>
          <w:rFonts w:cs="Arial"/>
        </w:rPr>
        <w:t>72 officers and staff have now completed the Lifelines facilitator training, with another 35 booked onto courses during Q</w:t>
      </w:r>
      <w:r w:rsidR="009A7F69">
        <w:rPr>
          <w:rFonts w:cs="Arial"/>
        </w:rPr>
        <w:t xml:space="preserve">uarter </w:t>
      </w:r>
      <w:r w:rsidR="00FF0AE5" w:rsidRPr="007417CC">
        <w:rPr>
          <w:rFonts w:cs="Arial"/>
        </w:rPr>
        <w:t xml:space="preserve">4. It is projected that facilitator capacity will have expanded to </w:t>
      </w:r>
      <w:r w:rsidR="00FF0AE5" w:rsidRPr="007F0E1B">
        <w:rPr>
          <w:rFonts w:cs="Arial"/>
        </w:rPr>
        <w:t xml:space="preserve">circa </w:t>
      </w:r>
      <w:r w:rsidR="00FF0AE5" w:rsidRPr="007417CC">
        <w:rPr>
          <w:rFonts w:cs="Arial"/>
        </w:rPr>
        <w:t xml:space="preserve">110 by the end of the </w:t>
      </w:r>
      <w:r w:rsidR="00AA1E4F">
        <w:rPr>
          <w:rFonts w:cs="Arial"/>
        </w:rPr>
        <w:t>financial year.</w:t>
      </w:r>
    </w:p>
    <w:p w14:paraId="1D654FF8" w14:textId="77777777" w:rsidR="00FF0AE5" w:rsidRPr="00FF0AE5" w:rsidRDefault="00FF0AE5" w:rsidP="002554CE">
      <w:pPr>
        <w:pStyle w:val="Heading4"/>
      </w:pPr>
      <w:r w:rsidRPr="00FF0AE5">
        <w:t>Occupational Health and Employee Assistance Programme</w:t>
      </w:r>
    </w:p>
    <w:p w14:paraId="52B9A613" w14:textId="71E6890C" w:rsidR="00FF0AE5" w:rsidRPr="00BB5C21" w:rsidRDefault="00AA1E4F" w:rsidP="0066489F">
      <w:r>
        <w:t xml:space="preserve">The preferred supplier for </w:t>
      </w:r>
      <w:r w:rsidR="00FF0AE5" w:rsidRPr="00BB5C21">
        <w:t xml:space="preserve">both the Occupational Health and Employee Assistance Programme contracts have now been approved. </w:t>
      </w:r>
      <w:r w:rsidR="002D6406">
        <w:t>A</w:t>
      </w:r>
      <w:r w:rsidR="00FF0AE5" w:rsidRPr="00BB5C21">
        <w:t xml:space="preserve"> communication strategy is under development at present with the contracts due to commence from </w:t>
      </w:r>
      <w:r w:rsidR="009A7F69">
        <w:t>0</w:t>
      </w:r>
      <w:r w:rsidR="00FF0AE5" w:rsidRPr="00BB5C21">
        <w:t>1</w:t>
      </w:r>
      <w:r w:rsidR="00FF0AE5" w:rsidRPr="00BB5C21">
        <w:rPr>
          <w:vertAlign w:val="superscript"/>
        </w:rPr>
        <w:t xml:space="preserve"> </w:t>
      </w:r>
      <w:r w:rsidR="00FF0AE5" w:rsidRPr="00BB5C21">
        <w:t>April 2024</w:t>
      </w:r>
      <w:r w:rsidR="00002CFD">
        <w:t xml:space="preserve"> and implementation plans in the following months</w:t>
      </w:r>
      <w:r w:rsidR="00FF0AE5" w:rsidRPr="00BB5C21">
        <w:t>.</w:t>
      </w:r>
    </w:p>
    <w:p w14:paraId="17549803" w14:textId="77777777" w:rsidR="00FF0AE5" w:rsidRPr="00FF0AE5" w:rsidRDefault="00FF0AE5" w:rsidP="002554CE">
      <w:pPr>
        <w:pStyle w:val="Heading4"/>
      </w:pPr>
      <w:r w:rsidRPr="00FF0AE5">
        <w:t>Your Leadership Matters (YLM) Phase 2</w:t>
      </w:r>
    </w:p>
    <w:p w14:paraId="1599D115" w14:textId="5204B4B5" w:rsidR="00FF0AE5" w:rsidRPr="001A7D2C" w:rsidRDefault="00FF0AE5" w:rsidP="0066489F">
      <w:r w:rsidRPr="001A7D2C">
        <w:t>Phase 2</w:t>
      </w:r>
      <w:r>
        <w:t>, for our mid-level leaders (MLL),</w:t>
      </w:r>
      <w:r w:rsidRPr="001A7D2C">
        <w:t xml:space="preserve"> launched in April 2023 and in September 2023 the programme reached the milestone of completing the </w:t>
      </w:r>
      <w:r>
        <w:t>s</w:t>
      </w:r>
      <w:r w:rsidRPr="001A7D2C">
        <w:t>enior</w:t>
      </w:r>
      <w:r>
        <w:t>-level</w:t>
      </w:r>
      <w:r w:rsidRPr="001A7D2C">
        <w:t xml:space="preserve"> </w:t>
      </w:r>
      <w:r>
        <w:t>l</w:t>
      </w:r>
      <w:r w:rsidRPr="001A7D2C">
        <w:t>eaders (SL</w:t>
      </w:r>
      <w:r>
        <w:t>L</w:t>
      </w:r>
      <w:r w:rsidRPr="001A7D2C">
        <w:t xml:space="preserve">) </w:t>
      </w:r>
      <w:r>
        <w:t>r</w:t>
      </w:r>
      <w:r w:rsidRPr="001A7D2C">
        <w:t>efresh and the</w:t>
      </w:r>
      <w:r>
        <w:t xml:space="preserve"> </w:t>
      </w:r>
      <w:r w:rsidRPr="001A7D2C">
        <w:t xml:space="preserve">MLL </w:t>
      </w:r>
      <w:r>
        <w:t>p</w:t>
      </w:r>
      <w:r w:rsidRPr="001A7D2C">
        <w:t>rogramme. Focus in Q</w:t>
      </w:r>
      <w:r w:rsidR="00002CFD">
        <w:t xml:space="preserve">uarter </w:t>
      </w:r>
      <w:r w:rsidRPr="001A7D2C">
        <w:t xml:space="preserve">3 has been on </w:t>
      </w:r>
      <w:r>
        <w:t>commencing delivery of</w:t>
      </w:r>
      <w:r w:rsidRPr="001A7D2C">
        <w:t xml:space="preserve"> the programme to our </w:t>
      </w:r>
      <w:r>
        <w:t>3</w:t>
      </w:r>
      <w:r w:rsidR="00AA1E4F">
        <w:t>,</w:t>
      </w:r>
      <w:r>
        <w:t>800 f</w:t>
      </w:r>
      <w:r w:rsidRPr="001A7D2C">
        <w:t>irst-</w:t>
      </w:r>
      <w:r>
        <w:t>l</w:t>
      </w:r>
      <w:r w:rsidRPr="001A7D2C">
        <w:t xml:space="preserve">evel </w:t>
      </w:r>
      <w:r>
        <w:t>l</w:t>
      </w:r>
      <w:r w:rsidRPr="001A7D2C">
        <w:t>eaders (FLL)</w:t>
      </w:r>
      <w:r>
        <w:t xml:space="preserve"> (police sergeant </w:t>
      </w:r>
      <w:r w:rsidR="00297EAE">
        <w:t>and</w:t>
      </w:r>
      <w:r>
        <w:t xml:space="preserve"> police inspecting ranks, and staff grades 4-7)</w:t>
      </w:r>
      <w:r w:rsidRPr="001A7D2C">
        <w:t xml:space="preserve"> which will be completed </w:t>
      </w:r>
      <w:r>
        <w:t>in</w:t>
      </w:r>
      <w:r w:rsidRPr="001A7D2C">
        <w:t xml:space="preserve"> four separate rotations over </w:t>
      </w:r>
      <w:r>
        <w:t>the next 15</w:t>
      </w:r>
      <w:r w:rsidRPr="001A7D2C">
        <w:t xml:space="preserve"> month</w:t>
      </w:r>
      <w:r>
        <w:t>s</w:t>
      </w:r>
      <w:r w:rsidR="00AA1E4F">
        <w:t>.</w:t>
      </w:r>
    </w:p>
    <w:p w14:paraId="1B70DA9C" w14:textId="678B8AAC" w:rsidR="00FF0AE5" w:rsidRDefault="00FF0AE5" w:rsidP="00002CFD">
      <w:r>
        <w:t>R</w:t>
      </w:r>
      <w:r w:rsidRPr="00181C9B">
        <w:t xml:space="preserve">otation </w:t>
      </w:r>
      <w:r>
        <w:t>O</w:t>
      </w:r>
      <w:r w:rsidRPr="00181C9B">
        <w:t>ne first level leaders’ attendance levels to date are as follows:</w:t>
      </w:r>
    </w:p>
    <w:p w14:paraId="4B2DA60A" w14:textId="77777777" w:rsidR="00033425" w:rsidRDefault="00033425" w:rsidP="00002CFD">
      <w:r>
        <w:rPr>
          <w:noProof/>
          <w:lang w:eastAsia="en-GB"/>
        </w:rPr>
        <w:drawing>
          <wp:inline distT="0" distB="0" distL="0" distR="0" wp14:anchorId="3147B4A9" wp14:editId="492EBF27">
            <wp:extent cx="5400000" cy="1800000"/>
            <wp:effectExtent l="0" t="0" r="0" b="0"/>
            <wp:docPr id="14" name="Picture 14" descr="This visualisation shows the levels of attendance at the various stages of Rotation One by first level leaders. There were 1,037 attendees at the launch; 1,162 attendees at Summit 1; 954 attendees at Summit 2 and 618 attendees at Summit 3. The guidance line was calculated at 917 attendees." title="FLL Rotation 1 Attendees Visualis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00000" cy="1800000"/>
                    </a:xfrm>
                    <a:prstGeom prst="rect">
                      <a:avLst/>
                    </a:prstGeom>
                    <a:noFill/>
                  </pic:spPr>
                </pic:pic>
              </a:graphicData>
            </a:graphic>
          </wp:inline>
        </w:drawing>
      </w:r>
    </w:p>
    <w:p w14:paraId="77823EF6" w14:textId="77777777" w:rsidR="00FF0AE5" w:rsidRPr="002A64C5" w:rsidRDefault="00FF0AE5" w:rsidP="004F7574">
      <w:r w:rsidRPr="004F7574">
        <w:rPr>
          <w:shd w:val="clear" w:color="auto" w:fill="FFF2CC" w:themeFill="accent4" w:themeFillTint="33"/>
        </w:rPr>
        <w:t>*Guidance line is total headcount of FLL officers and staff divided over the four rotations.</w:t>
      </w:r>
    </w:p>
    <w:p w14:paraId="2792F82A" w14:textId="158958D2" w:rsidR="00FF0AE5" w:rsidRPr="00AA1E4F" w:rsidRDefault="00FF0AE5" w:rsidP="00033425">
      <w:r>
        <w:lastRenderedPageBreak/>
        <w:t>Summit three (</w:t>
      </w:r>
      <w:r w:rsidRPr="00266B76">
        <w:t>Collaborate for Growth</w:t>
      </w:r>
      <w:r>
        <w:t>) sessions were not as favourably received by participants</w:t>
      </w:r>
      <w:r w:rsidR="008C7898">
        <w:t xml:space="preserve"> as the first two summits</w:t>
      </w:r>
      <w:r>
        <w:t xml:space="preserve">, with only 53% rating it as good or better and a lower number of participants advising they would advocate or recommend the summit to a colleague. A priority action in December 2023 was to review the reasons for this, through individual feedback and three participant focus groups. This summit has now been re-designed and will recommence with the last </w:t>
      </w:r>
      <w:r w:rsidR="00AA1E4F">
        <w:t xml:space="preserve">four </w:t>
      </w:r>
      <w:r>
        <w:t>sessions for rotation one in February 2024. Analysis of this summit’s content will be evaluated following the remaining sessions.</w:t>
      </w:r>
    </w:p>
    <w:p w14:paraId="60650344" w14:textId="1355E30F" w:rsidR="00FF0AE5" w:rsidRPr="00D007CC" w:rsidRDefault="00FF0AE5" w:rsidP="00033425">
      <w:r>
        <w:t>Finally, work has been undertaken on scoping the options for delivery with a greater element of in-person participation, with recommendations presented to our internal Strategic Reference Group. A key recommendation being progressed is to combine consolidation sessions for the three summits into one 90-minute closing event. This will be delivered locally by a senior leader and will provide the option for participants to attend in person.</w:t>
      </w:r>
      <w:r w:rsidRPr="00A80498">
        <w:rPr>
          <w:color w:val="FF0000"/>
        </w:rPr>
        <w:t xml:space="preserve"> </w:t>
      </w:r>
      <w:r w:rsidRPr="00D007CC">
        <w:t>Work is taking place to incorporate this in</w:t>
      </w:r>
      <w:r>
        <w:t>-</w:t>
      </w:r>
      <w:r w:rsidRPr="00D007CC">
        <w:t xml:space="preserve">person element from rotation two onwards which begins on </w:t>
      </w:r>
      <w:r w:rsidR="00AA1E4F">
        <w:t>0</w:t>
      </w:r>
      <w:r w:rsidRPr="00D007CC">
        <w:t>5 February 2024.</w:t>
      </w:r>
    </w:p>
    <w:p w14:paraId="0D42A721" w14:textId="1DFAC50A" w:rsidR="00BF1C94" w:rsidRDefault="00BF1C94" w:rsidP="009A7F69">
      <w:r>
        <w:br w:type="page"/>
      </w:r>
    </w:p>
    <w:p w14:paraId="730D1F08" w14:textId="60CB837B" w:rsidR="00212B05" w:rsidRDefault="00212B05" w:rsidP="00212B05">
      <w:pPr>
        <w:pStyle w:val="Heading3"/>
      </w:pPr>
      <w:bookmarkStart w:id="68" w:name="_Toc157687366"/>
      <w:bookmarkStart w:id="69" w:name="_Toc158895845"/>
      <w:r>
        <w:lastRenderedPageBreak/>
        <w:t>Strategic Outcome 5</w:t>
      </w:r>
      <w:bookmarkEnd w:id="65"/>
      <w:bookmarkEnd w:id="66"/>
      <w:bookmarkEnd w:id="67"/>
      <w:bookmarkEnd w:id="68"/>
      <w:bookmarkEnd w:id="69"/>
    </w:p>
    <w:tbl>
      <w:tblPr>
        <w:tblStyle w:val="TableGrid1"/>
        <w:tblW w:w="9865" w:type="dxa"/>
        <w:shd w:val="clear" w:color="auto" w:fill="82AC3F"/>
        <w:tblLook w:val="04A0" w:firstRow="1" w:lastRow="0" w:firstColumn="1" w:lastColumn="0" w:noHBand="0" w:noVBand="1"/>
        <w:tblCaption w:val="Strategic Outcome 5 and Objectives"/>
        <w:tblDescription w:val="This box provides a description of Strategic Outcome 5 and the three objectives which sit under this outcome in the Annual Police Plan 2022/23."/>
      </w:tblPr>
      <w:tblGrid>
        <w:gridCol w:w="9865"/>
      </w:tblGrid>
      <w:tr w:rsidR="00BB2986" w:rsidRPr="00BB2986" w14:paraId="1043BFB0" w14:textId="77777777" w:rsidTr="00A8604B">
        <w:trPr>
          <w:tblHeader/>
        </w:trPr>
        <w:tc>
          <w:tcPr>
            <w:tcW w:w="9865" w:type="dxa"/>
            <w:shd w:val="clear" w:color="auto" w:fill="88AA28"/>
          </w:tcPr>
          <w:p w14:paraId="30ABB574" w14:textId="79855611" w:rsidR="00212B05" w:rsidRPr="00BB2986" w:rsidRDefault="00212B05" w:rsidP="00D12BB1">
            <w:pPr>
              <w:pStyle w:val="TableNormal1"/>
              <w:rPr>
                <w:rFonts w:ascii="Arial" w:hAnsi="Arial" w:cs="Arial"/>
                <w:color w:val="auto"/>
                <w:sz w:val="24"/>
              </w:rPr>
            </w:pPr>
            <w:r w:rsidRPr="00BB2986">
              <w:rPr>
                <w:rFonts w:ascii="Arial" w:hAnsi="Arial" w:cs="Arial"/>
                <w:color w:val="auto"/>
                <w:sz w:val="24"/>
              </w:rPr>
              <w:t>Police Scotland is sustainable, adaptable and prepared for future challenges.</w:t>
            </w:r>
          </w:p>
          <w:p w14:paraId="465CF137" w14:textId="77777777" w:rsidR="00212B05" w:rsidRPr="00BB2986" w:rsidRDefault="00212B05" w:rsidP="00D12BB1">
            <w:pPr>
              <w:pStyle w:val="TableNormal1"/>
              <w:rPr>
                <w:rFonts w:ascii="Arial" w:hAnsi="Arial" w:cs="Arial"/>
                <w:color w:val="auto"/>
                <w:sz w:val="24"/>
              </w:rPr>
            </w:pPr>
            <w:r w:rsidRPr="00BB2986">
              <w:rPr>
                <w:rFonts w:ascii="Arial" w:hAnsi="Arial" w:cs="Arial"/>
                <w:color w:val="auto"/>
                <w:sz w:val="24"/>
              </w:rPr>
              <w:t>Objectives:</w:t>
            </w:r>
          </w:p>
          <w:p w14:paraId="769EAF28" w14:textId="77777777" w:rsidR="00212B05" w:rsidRPr="00BB2986" w:rsidRDefault="00212B05" w:rsidP="00D228ED">
            <w:pPr>
              <w:pStyle w:val="BulletTable"/>
              <w:rPr>
                <w:rFonts w:ascii="Arial" w:hAnsi="Arial" w:cs="Arial"/>
                <w:sz w:val="24"/>
                <w:szCs w:val="24"/>
              </w:rPr>
            </w:pPr>
            <w:r w:rsidRPr="00BB2986">
              <w:rPr>
                <w:rFonts w:ascii="Arial" w:hAnsi="Arial" w:cs="Arial"/>
                <w:sz w:val="24"/>
                <w:szCs w:val="24"/>
              </w:rPr>
              <w:t>Use innovative approaches to accelerate our capacity and capability for effective service delivery</w:t>
            </w:r>
          </w:p>
          <w:p w14:paraId="40B28C1D" w14:textId="77777777" w:rsidR="00212B05" w:rsidRPr="00BB2986" w:rsidRDefault="00212B05" w:rsidP="00D228ED">
            <w:pPr>
              <w:pStyle w:val="BulletTable"/>
              <w:rPr>
                <w:rFonts w:ascii="Arial" w:hAnsi="Arial" w:cs="Arial"/>
                <w:sz w:val="24"/>
                <w:szCs w:val="24"/>
              </w:rPr>
            </w:pPr>
            <w:r w:rsidRPr="00BB2986">
              <w:rPr>
                <w:rFonts w:ascii="Arial" w:hAnsi="Arial" w:cs="Arial"/>
                <w:sz w:val="24"/>
                <w:szCs w:val="24"/>
              </w:rPr>
              <w:t>Commit to making a positive impact through outstanding environmental sustainability</w:t>
            </w:r>
          </w:p>
          <w:p w14:paraId="1CB614AC" w14:textId="77777777" w:rsidR="00212B05" w:rsidRPr="00BB2986" w:rsidRDefault="00212B05" w:rsidP="00D228ED">
            <w:pPr>
              <w:pStyle w:val="BulletTable"/>
            </w:pPr>
            <w:r w:rsidRPr="00BB2986">
              <w:rPr>
                <w:rFonts w:ascii="Arial" w:hAnsi="Arial" w:cs="Arial"/>
                <w:sz w:val="24"/>
                <w:szCs w:val="24"/>
              </w:rPr>
              <w:t>Support operational policing through the appropriate digital tools and delivery of best value</w:t>
            </w:r>
          </w:p>
        </w:tc>
      </w:tr>
    </w:tbl>
    <w:p w14:paraId="7115A8C5" w14:textId="77777777" w:rsidR="00EC7365" w:rsidRDefault="00EC7365" w:rsidP="002554CE">
      <w:pPr>
        <w:pStyle w:val="Heading4"/>
      </w:pPr>
      <w:r>
        <w:t>Finance</w:t>
      </w:r>
    </w:p>
    <w:p w14:paraId="57D72DE0" w14:textId="36D20093" w:rsidR="00851DF6" w:rsidRDefault="009C6C23" w:rsidP="002554CE">
      <w:pPr>
        <w:pStyle w:val="Heading4"/>
      </w:pPr>
      <w:r>
        <w:t>Maintaining a Balance</w:t>
      </w:r>
      <w:r w:rsidR="003024CE">
        <w:t>d</w:t>
      </w:r>
      <w:r>
        <w:t xml:space="preserve"> B</w:t>
      </w:r>
      <w:r w:rsidRPr="009C6C23">
        <w:t>udget</w:t>
      </w:r>
      <w:r w:rsidR="000B4311">
        <w:t xml:space="preserve"> Challenge</w:t>
      </w:r>
    </w:p>
    <w:p w14:paraId="7EA64578" w14:textId="77777777" w:rsidR="00A16D2A" w:rsidRDefault="00A16D2A" w:rsidP="002554CE">
      <w:pPr>
        <w:pStyle w:val="Heading4"/>
      </w:pPr>
      <w:bookmarkStart w:id="70" w:name="_Hlk140139969"/>
      <w:r>
        <w:t>Revenue</w:t>
      </w:r>
    </w:p>
    <w:p w14:paraId="66CBA6AC" w14:textId="77777777" w:rsidR="00A9542F" w:rsidRDefault="00A9542F" w:rsidP="00A9542F">
      <w:r>
        <w:t>The 2023/24 revenue budget was approved by the Board at the Authority meeting held on 23 March 2023.</w:t>
      </w:r>
    </w:p>
    <w:p w14:paraId="2DC6058D" w14:textId="77777777" w:rsidR="00A9542F" w:rsidRDefault="00A9542F" w:rsidP="00A9542F">
      <w:r>
        <w:t>A number of financial risks were highlighted as part of the budget approval process, some of which materialised in the first half of the financial year causing significant pressure on the 2023/24 revenue position. At the end of Quarter 3 we are reporting a £12.1m year-to-date overspend against budget.</w:t>
      </w:r>
    </w:p>
    <w:p w14:paraId="20CFCFBC" w14:textId="4E0A74F2" w:rsidR="00A9542F" w:rsidRDefault="00A9542F" w:rsidP="00A9542F">
      <w:r>
        <w:t>The Q</w:t>
      </w:r>
      <w:r w:rsidR="002554CE">
        <w:t xml:space="preserve">uarter </w:t>
      </w:r>
      <w:r>
        <w:t>3 forecast position of £1,357.8m shows an overspend of £5.0m against full year revised budget of £1,352.8m. This overspend requires additional funding, as requested by the Chief Executive Officer and Accountable Officer (CEO) of the Scottish Police Authority (SPA) to the Scottish Government (SG), to ensure a balanced position.</w:t>
      </w:r>
    </w:p>
    <w:p w14:paraId="5F612D25" w14:textId="43A06AA7" w:rsidR="00A9542F" w:rsidRDefault="00A9542F" w:rsidP="00A9542F">
      <w:r>
        <w:t>As outlined previously, Q</w:t>
      </w:r>
      <w:r w:rsidR="002A4EA7">
        <w:t xml:space="preserve">uarter </w:t>
      </w:r>
      <w:r>
        <w:t>1 forecast originally highlighted net unfunded pressures of £18.9m, mainly due to overspends relating to pay; police staff costs, police officer overtime and police officer pensions.</w:t>
      </w:r>
    </w:p>
    <w:p w14:paraId="2E0DDA15" w14:textId="2E0A6422" w:rsidR="00A9542F" w:rsidRDefault="00A9542F" w:rsidP="00A9542F">
      <w:r>
        <w:t>Mitigating actions and savings are being managed and delivered through our Policing Our Communities programme to bring spend back in</w:t>
      </w:r>
      <w:r w:rsidR="00AA1E4F">
        <w:t xml:space="preserve"> line with the funded position.</w:t>
      </w:r>
    </w:p>
    <w:p w14:paraId="17AB9AAB" w14:textId="422C8381" w:rsidR="00E20C07" w:rsidRDefault="00A9542F" w:rsidP="00A16D2A">
      <w:r>
        <w:t>At the end of November</w:t>
      </w:r>
      <w:r w:rsidR="00AA1E4F">
        <w:t xml:space="preserve"> 2023</w:t>
      </w:r>
      <w:r>
        <w:t>, the CEO of the SPA wrote to the SG requesting £5.0m of contingency funding due to significant risk around the delivery of the forecast</w:t>
      </w:r>
      <w:r w:rsidR="00A16D2A">
        <w:t>.</w:t>
      </w:r>
    </w:p>
    <w:p w14:paraId="0EBF7DF5" w14:textId="599CACBB" w:rsidR="00A16D2A" w:rsidRDefault="00A16D2A" w:rsidP="002554CE">
      <w:pPr>
        <w:pStyle w:val="Heading4"/>
      </w:pPr>
      <w:r>
        <w:t>Capital</w:t>
      </w:r>
    </w:p>
    <w:p w14:paraId="54650712" w14:textId="77777777" w:rsidR="00A9542F" w:rsidRDefault="00A9542F" w:rsidP="00A9542F">
      <w:r>
        <w:t>The capital forecast at Quarter 3 is £54.9m, £1.9m (fully funded) over the budget position of £53.0m. The forecast position requires £1.1m slippage to be slowed for the remaining part of the year, reduced from £17.3m at Quarter 2 forecast.</w:t>
      </w:r>
    </w:p>
    <w:p w14:paraId="42CD113C" w14:textId="7A5553AC" w:rsidR="00A9542F" w:rsidRDefault="00A9542F" w:rsidP="00A9542F">
      <w:r>
        <w:t>Over 88% of funding has been spent to date. Capital expenditure has required to be slowed for t</w:t>
      </w:r>
      <w:r w:rsidR="00307499">
        <w:t xml:space="preserve">he remaining part of the year. </w:t>
      </w:r>
      <w:r>
        <w:t xml:space="preserve">As a result, no further commitments to be made in the current financial year, with £1.1m slippage still required within the committed spend </w:t>
      </w:r>
      <w:r w:rsidR="00307499">
        <w:t xml:space="preserve">or </w:t>
      </w:r>
      <w:r w:rsidR="00307499">
        <w:lastRenderedPageBreak/>
        <w:t xml:space="preserve">agreed exceptions category. </w:t>
      </w:r>
      <w:r>
        <w:t>Any slippage identified must be notified to Finance and should not be reallocated to other areas of spend.</w:t>
      </w:r>
    </w:p>
    <w:p w14:paraId="22F9862A" w14:textId="2D9423F4" w:rsidR="00A16D2A" w:rsidRDefault="00A9542F" w:rsidP="00A9542F">
      <w:r>
        <w:t>Any remaining capital expenditure will continue to progress through governance and procurement to create a pipeline of activity ready for delivery from 01 April 2024</w:t>
      </w:r>
      <w:r w:rsidR="00A16D2A">
        <w:t>.</w:t>
      </w:r>
    </w:p>
    <w:p w14:paraId="411014DF" w14:textId="6F0CBED1" w:rsidR="00A16D2A" w:rsidRDefault="00A16D2A" w:rsidP="002554CE">
      <w:pPr>
        <w:pStyle w:val="Heading4"/>
      </w:pPr>
      <w:r>
        <w:t>Reform</w:t>
      </w:r>
    </w:p>
    <w:p w14:paraId="0EB91FFC" w14:textId="4D2DEB72" w:rsidR="00A16D2A" w:rsidRPr="00C22B85" w:rsidRDefault="00A9542F" w:rsidP="00A16D2A">
      <w:r w:rsidRPr="00A9542F">
        <w:t xml:space="preserve">The Quarter 3 forecast of £20.3m is in line with revised funding. As previously shown at Quarter 2 forecast, the Quarter 3 forecast continues to show that the reform </w:t>
      </w:r>
      <w:r>
        <w:t xml:space="preserve">funding has reduced to £20.0m. </w:t>
      </w:r>
      <w:r w:rsidRPr="00A9542F">
        <w:t>This was due to the decisions and mitigating actions agreed to help with the 2023/24 revenue position</w:t>
      </w:r>
      <w:r w:rsidR="00A16D2A">
        <w:t>.</w:t>
      </w:r>
    </w:p>
    <w:bookmarkEnd w:id="70"/>
    <w:p w14:paraId="4740D724" w14:textId="61E075B4" w:rsidR="00DD21A2" w:rsidRDefault="00DD21A2" w:rsidP="002554CE">
      <w:pPr>
        <w:pStyle w:val="Heading4"/>
      </w:pPr>
      <w:r>
        <w:t xml:space="preserve">Environmental </w:t>
      </w:r>
      <w:r w:rsidR="000B4311">
        <w:t>Challenge</w:t>
      </w:r>
    </w:p>
    <w:p w14:paraId="3069AE11" w14:textId="0E43AD49" w:rsidR="00390EF7" w:rsidRDefault="00B47878" w:rsidP="00ED73A8">
      <w:r>
        <w:rPr>
          <w:noProof/>
          <w:lang w:eastAsia="en-GB"/>
        </w:rPr>
        <w:drawing>
          <wp:inline distT="0" distB="0" distL="0" distR="0" wp14:anchorId="335E11CC" wp14:editId="277FA75F">
            <wp:extent cx="6264000" cy="2880000"/>
            <wp:effectExtent l="0" t="0" r="3810" b="0"/>
            <wp:docPr id="1" name="Picture 1" descr="This visualisation shows gas, electricity and water usage at the end of November 2023 compared to the previous year and last five-years.&#10;&#10;The first section (recorded YTD comparison) shows 36,737,533kWh of gas consumption PYTD compared to 37,038,380kWh YTD. Up 0.8% on last year. There was 32,759,333kWh of electricity consumption PYTD compared to 31,314,279kWh YTD. Down 4.4% on last year. There was 218,041 m3 of water consumption PYTD compared to 191,634 m3 YTD. Down 12.1% on last year.&#10;&#10;The second section (recorded five-year comparison) shows the five-year mean for gas consumption is 40,140,629kWh compared to 37,038,380kWh YTD. Down 7.7% on five-year mean. The five-year mean for electricity consumption is 33,331,441kWh compared to 31,314,279kWh YTD. Down 6.1% on five-year mean. The five-year mean for water consumption is 211,860 m3 compared to 191,634 m3 YTD. Down 9.5% on five-year mean." title="Energy Consumption Visualis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264000" cy="2880000"/>
                    </a:xfrm>
                    <a:prstGeom prst="rect">
                      <a:avLst/>
                    </a:prstGeom>
                  </pic:spPr>
                </pic:pic>
              </a:graphicData>
            </a:graphic>
          </wp:inline>
        </w:drawing>
      </w:r>
    </w:p>
    <w:p w14:paraId="61477E6B" w14:textId="6E5C486E" w:rsidR="00390EF7" w:rsidRDefault="00390EF7" w:rsidP="00390EF7">
      <w:r>
        <w:t xml:space="preserve">At the end of November 2023/24, Police Scotland increased gas consumption by 0.8% compared to the same period last year. However, </w:t>
      </w:r>
      <w:r w:rsidR="00AA1E4F">
        <w:t xml:space="preserve">were down 7.7% </w:t>
      </w:r>
      <w:r>
        <w:t>co</w:t>
      </w:r>
      <w:r w:rsidR="00AA1E4F">
        <w:t>mpared to the five-year mean</w:t>
      </w:r>
      <w:r>
        <w:t>. We have reduced our electricity consumption by 4.4% and 6.1% whilst our water consumption has decreased by 12.1% and 9.5% respectively.</w:t>
      </w:r>
    </w:p>
    <w:p w14:paraId="0EC9AA36" w14:textId="77777777" w:rsidR="00390EF7" w:rsidRDefault="00390EF7" w:rsidP="00390EF7">
      <w:r>
        <w:t>Police Scotland is working towards implementing the move to an Ultra-Low Emission Fleet as part of the Scottish Police Authority (SPA) approved Fleet Strategy. At the end of Quarter 3 2023/24, ULEV vehicles currently make up 30% of Police Scotland’s overall fleet (no change from the previous quarter). 45% of the ULEV vehicles represent the unmarked fleet (up 1% point from the previous quarter).</w:t>
      </w:r>
    </w:p>
    <w:p w14:paraId="69939D33" w14:textId="77777777" w:rsidR="00390EF7" w:rsidRDefault="00390EF7" w:rsidP="00390EF7">
      <w:r>
        <w:t>The total mileage of electric vehicles (green miles) during Quarter 3 2023/24 was 1,501,571 miles. This compares to 1,499,099 miles in Quarter 2 2023/24 and represents an increase of 204,653 miles (up 0.16%) compared to the previous quarter. Overall, the total mileage of green miles by our electric vehicles was 4,245,116 miles in the year to date.</w:t>
      </w:r>
    </w:p>
    <w:p w14:paraId="6D5A28F5" w14:textId="04A94190" w:rsidR="005A705A" w:rsidRPr="00AD5E83" w:rsidRDefault="00390EF7" w:rsidP="00307499">
      <w:r>
        <w:lastRenderedPageBreak/>
        <w:t xml:space="preserve">The average age of the Police Scotland fleet in Quarter </w:t>
      </w:r>
      <w:r w:rsidR="00463F26">
        <w:t>3</w:t>
      </w:r>
      <w:r>
        <w:t xml:space="preserve"> 2023/24 is 3.75 years. This is up 0.11 years from the figure reported last quarter. This will reduce as new vehicles are introduced to the fleet and if the level of capital investment on the fleet is maintained in future years.</w:t>
      </w:r>
    </w:p>
    <w:sectPr w:rsidR="005A705A" w:rsidRPr="00AD5E83" w:rsidSect="00E76ECA">
      <w:headerReference w:type="even" r:id="rId68"/>
      <w:headerReference w:type="default" r:id="rId69"/>
      <w:footerReference w:type="even" r:id="rId70"/>
      <w:footerReference w:type="default" r:id="rId71"/>
      <w:headerReference w:type="first" r:id="rId72"/>
      <w:footerReference w:type="first" r:id="rId73"/>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A4A83" w14:textId="77777777" w:rsidR="00CF7796" w:rsidRDefault="00CF7796" w:rsidP="00773069">
      <w:pPr>
        <w:spacing w:line="240" w:lineRule="auto"/>
      </w:pPr>
      <w:r>
        <w:separator/>
      </w:r>
    </w:p>
  </w:endnote>
  <w:endnote w:type="continuationSeparator" w:id="0">
    <w:p w14:paraId="4D1B1184" w14:textId="77777777" w:rsidR="00CF7796" w:rsidRDefault="00CF7796" w:rsidP="00773069">
      <w:pPr>
        <w:spacing w:line="240" w:lineRule="auto"/>
      </w:pPr>
      <w:r>
        <w:continuationSeparator/>
      </w:r>
    </w:p>
  </w:endnote>
  <w:endnote w:type="continuationNotice" w:id="1">
    <w:p w14:paraId="03A1E8F2" w14:textId="77777777" w:rsidR="00CF7796" w:rsidRDefault="00CF779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587BF" w14:textId="77777777" w:rsidR="00CF7796" w:rsidRDefault="00CF7796">
    <w:pPr>
      <w:pStyle w:val="Footer"/>
    </w:pPr>
  </w:p>
  <w:p w14:paraId="44955C97" w14:textId="510D425C" w:rsidR="00CF7796" w:rsidRDefault="00CF7796" w:rsidP="00773069">
    <w:pPr>
      <w:pStyle w:val="Footer"/>
      <w:jc w:val="center"/>
    </w:pP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009E26CF" w:rsidRPr="00550FC8">
      <w:rPr>
        <w:rFonts w:ascii="Times New Roman" w:hAnsi="Times New Roman" w:cs="Times New Roman"/>
        <w:b/>
      </w:rPr>
      <w:t>OFFICIAL</w:t>
    </w:r>
    <w:r w:rsidRPr="0054502C">
      <w:rPr>
        <w:rFonts w:ascii="Times New Roman" w:hAnsi="Times New Roman" w:cs="Times New Roman"/>
        <w:b/>
      </w:rPr>
      <w:fldChar w:fldCharType="end"/>
    </w:r>
  </w:p>
  <w:p w14:paraId="470D8FC7" w14:textId="77777777" w:rsidR="00CF7796" w:rsidRDefault="00CF779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4097720"/>
      <w:docPartObj>
        <w:docPartGallery w:val="Page Numbers (Bottom of Page)"/>
        <w:docPartUnique/>
      </w:docPartObj>
    </w:sdtPr>
    <w:sdtEndPr/>
    <w:sdtContent>
      <w:p w14:paraId="62BD0A27" w14:textId="763D93F5" w:rsidR="00CF7796" w:rsidRDefault="00CF7796">
        <w:pPr>
          <w:pStyle w:val="Footer"/>
          <w:jc w:val="right"/>
        </w:pPr>
        <w:r>
          <w:fldChar w:fldCharType="begin"/>
        </w:r>
        <w:r>
          <w:instrText>PAGE   \* MERGEFORMAT</w:instrText>
        </w:r>
        <w:r>
          <w:fldChar w:fldCharType="separate"/>
        </w:r>
        <w:r w:rsidR="003659BD">
          <w:rPr>
            <w:noProof/>
          </w:rPr>
          <w:t>2</w:t>
        </w:r>
        <w:r>
          <w:fldChar w:fldCharType="end"/>
        </w:r>
      </w:p>
    </w:sdtContent>
  </w:sdt>
  <w:p w14:paraId="5F826578" w14:textId="2C736A2D" w:rsidR="00CF7796" w:rsidRDefault="00CF7796" w:rsidP="00773069">
    <w:pPr>
      <w:pStyle w:val="Footer"/>
      <w:jc w:val="center"/>
    </w:pPr>
  </w:p>
  <w:p w14:paraId="539737AB" w14:textId="1CF40F50" w:rsidR="00CF7796" w:rsidRDefault="00CF7796" w:rsidP="00773069">
    <w:pPr>
      <w:pStyle w:val="Footer"/>
      <w:jc w:val="center"/>
    </w:pPr>
    <w:r>
      <w:rPr>
        <w:rFonts w:ascii="Times New Roman" w:hAnsi="Times New Roman" w:cs="Times New Roman"/>
        <w:b/>
      </w:rPr>
      <w:fldChar w:fldCharType="begin"/>
    </w:r>
    <w:r>
      <w:rPr>
        <w:rFonts w:ascii="Times New Roman" w:hAnsi="Times New Roman" w:cs="Times New Roman"/>
        <w:b/>
      </w:rPr>
      <w:instrText xml:space="preserve"> DOCPROPERTY ClassificationMarking \* MERGEFORMAT </w:instrText>
    </w:r>
    <w:r>
      <w:rPr>
        <w:rFonts w:ascii="Times New Roman" w:hAnsi="Times New Roman" w:cs="Times New Roman"/>
        <w:b/>
      </w:rPr>
      <w:fldChar w:fldCharType="separate"/>
    </w:r>
    <w:r w:rsidR="009E26CF" w:rsidRPr="00550FC8">
      <w:rPr>
        <w:rFonts w:ascii="Times New Roman" w:hAnsi="Times New Roman" w:cs="Times New Roman"/>
        <w:b/>
      </w:rPr>
      <w:t>OFFICIAL</w:t>
    </w:r>
    <w:r>
      <w:rPr>
        <w:rFonts w:ascii="Times New Roman" w:hAnsi="Times New Roman" w:cs="Times New Roman"/>
        <w:b/>
      </w:rPr>
      <w:fldChar w:fldCharType="end"/>
    </w:r>
  </w:p>
  <w:p w14:paraId="2EDAC9B3" w14:textId="77777777" w:rsidR="00CF7796" w:rsidRDefault="00CF779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5107C" w14:textId="7D8964E9" w:rsidR="00CF7796" w:rsidRDefault="00CF7796" w:rsidP="00773069">
    <w:pPr>
      <w:pStyle w:val="Footer"/>
      <w:jc w:val="center"/>
    </w:pP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009E26CF" w:rsidRPr="00550FC8">
      <w:rPr>
        <w:rFonts w:ascii="Times New Roman" w:hAnsi="Times New Roman" w:cs="Times New Roman"/>
        <w:b/>
      </w:rPr>
      <w:t>OFFICIAL</w:t>
    </w:r>
    <w:r w:rsidRPr="0054502C">
      <w:rPr>
        <w:rFonts w:ascii="Times New Roman" w:hAnsi="Times New Roman" w:cs="Times New Roman"/>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63906" w14:textId="77777777" w:rsidR="00CF7796" w:rsidRDefault="00CF7796" w:rsidP="00773069">
      <w:pPr>
        <w:spacing w:line="240" w:lineRule="auto"/>
      </w:pPr>
      <w:r>
        <w:separator/>
      </w:r>
    </w:p>
  </w:footnote>
  <w:footnote w:type="continuationSeparator" w:id="0">
    <w:p w14:paraId="19E111AA" w14:textId="77777777" w:rsidR="00CF7796" w:rsidRDefault="00CF7796" w:rsidP="00773069">
      <w:pPr>
        <w:spacing w:line="240" w:lineRule="auto"/>
      </w:pPr>
      <w:r>
        <w:continuationSeparator/>
      </w:r>
    </w:p>
  </w:footnote>
  <w:footnote w:type="continuationNotice" w:id="1">
    <w:p w14:paraId="4CA9242F" w14:textId="77777777" w:rsidR="00CF7796" w:rsidRDefault="00CF779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B7A20" w14:textId="3B2E025C" w:rsidR="00CF7796" w:rsidRPr="0082659C" w:rsidRDefault="00CF7796" w:rsidP="00773069">
    <w:pPr>
      <w:pStyle w:val="Header"/>
      <w:jc w:val="center"/>
      <w:rPr>
        <w:color w:val="FF0000"/>
      </w:rPr>
    </w:pP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009E26CF" w:rsidRPr="00550FC8">
      <w:rPr>
        <w:rFonts w:ascii="Times New Roman" w:hAnsi="Times New Roman" w:cs="Times New Roman"/>
        <w:b/>
      </w:rPr>
      <w:t>OFFICIAL</w:t>
    </w:r>
    <w:r w:rsidRPr="0054502C">
      <w:rPr>
        <w:rFonts w:ascii="Times New Roman" w:hAnsi="Times New Roman" w:cs="Times New Roman"/>
        <w:b/>
      </w:rPr>
      <w:fldChar w:fldCharType="end"/>
    </w:r>
  </w:p>
  <w:p w14:paraId="06E8D560" w14:textId="77777777" w:rsidR="00CF7796" w:rsidRDefault="00CF77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4800E" w14:textId="02B28A2B" w:rsidR="00CF7796" w:rsidRDefault="00CF7796" w:rsidP="00773069">
    <w:pPr>
      <w:pStyle w:val="Header"/>
      <w:jc w:val="center"/>
    </w:pP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009E26CF" w:rsidRPr="00550FC8">
      <w:rPr>
        <w:rFonts w:ascii="Times New Roman" w:hAnsi="Times New Roman" w:cs="Times New Roman"/>
        <w:b/>
      </w:rPr>
      <w:t>OFFICIAL</w:t>
    </w:r>
    <w:r w:rsidRPr="0054502C">
      <w:rPr>
        <w:rFonts w:ascii="Times New Roman" w:hAnsi="Times New Roman" w:cs="Times New Roman"/>
        <w:b/>
      </w:rPr>
      <w:fldChar w:fldCharType="end"/>
    </w:r>
  </w:p>
  <w:p w14:paraId="28817CAB" w14:textId="77777777" w:rsidR="00CF7796" w:rsidRDefault="00CF77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09511" w14:textId="64A8E50B" w:rsidR="00CF7796" w:rsidRDefault="00CF7796" w:rsidP="00773069">
    <w:pPr>
      <w:pStyle w:val="Header"/>
      <w:jc w:val="center"/>
    </w:pP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009E26CF" w:rsidRPr="00550FC8">
      <w:rPr>
        <w:rFonts w:ascii="Times New Roman" w:hAnsi="Times New Roman" w:cs="Times New Roman"/>
        <w:b/>
      </w:rPr>
      <w:t>OFFICIAL</w:t>
    </w:r>
    <w:r w:rsidRPr="0054502C">
      <w:rPr>
        <w:rFonts w:ascii="Times New Roman" w:hAnsi="Times New Roman" w:cs="Times New Roman"/>
        <w:b/>
      </w:rPr>
      <w:fldChar w:fldCharType="end"/>
    </w:r>
  </w:p>
  <w:p w14:paraId="5C636A17" w14:textId="77777777" w:rsidR="00CF7796" w:rsidRDefault="00CF77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D1E4C08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546DBA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128E773A"/>
    <w:multiLevelType w:val="hybridMultilevel"/>
    <w:tmpl w:val="7DF0E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0938B2"/>
    <w:multiLevelType w:val="hybridMultilevel"/>
    <w:tmpl w:val="AB1A83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5DB25A2"/>
    <w:multiLevelType w:val="hybridMultilevel"/>
    <w:tmpl w:val="F7762F06"/>
    <w:lvl w:ilvl="0" w:tplc="1EA05838">
      <w:start w:val="1"/>
      <w:numFmt w:val="bullet"/>
      <w:pStyle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45168E"/>
    <w:multiLevelType w:val="multilevel"/>
    <w:tmpl w:val="FC0C20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6727E5"/>
    <w:multiLevelType w:val="hybridMultilevel"/>
    <w:tmpl w:val="4A16BC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FFE53AE"/>
    <w:multiLevelType w:val="hybridMultilevel"/>
    <w:tmpl w:val="196CBB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4AF4BD3"/>
    <w:multiLevelType w:val="hybridMultilevel"/>
    <w:tmpl w:val="DF26422C"/>
    <w:lvl w:ilvl="0" w:tplc="AE86D736">
      <w:numFmt w:val="bullet"/>
      <w:lvlText w:val="•"/>
      <w:lvlJc w:val="left"/>
      <w:pPr>
        <w:ind w:left="870" w:hanging="51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0041D0"/>
    <w:multiLevelType w:val="hybridMultilevel"/>
    <w:tmpl w:val="F26CDE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DB72F6C"/>
    <w:multiLevelType w:val="hybridMultilevel"/>
    <w:tmpl w:val="DF1A70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F634DD5"/>
    <w:multiLevelType w:val="hybridMultilevel"/>
    <w:tmpl w:val="7818C5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2B8369F"/>
    <w:multiLevelType w:val="hybridMultilevel"/>
    <w:tmpl w:val="6720A3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CED3621"/>
    <w:multiLevelType w:val="hybridMultilevel"/>
    <w:tmpl w:val="88D287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5D2646CA"/>
    <w:multiLevelType w:val="hybridMultilevel"/>
    <w:tmpl w:val="379EF0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6B317B77"/>
    <w:multiLevelType w:val="hybridMultilevel"/>
    <w:tmpl w:val="46D4B018"/>
    <w:lvl w:ilvl="0" w:tplc="3720523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B32328A"/>
    <w:multiLevelType w:val="hybridMultilevel"/>
    <w:tmpl w:val="3DAC5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3A25414"/>
    <w:multiLevelType w:val="hybridMultilevel"/>
    <w:tmpl w:val="80721B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5AB019E"/>
    <w:multiLevelType w:val="hybridMultilevel"/>
    <w:tmpl w:val="576A0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8B0C64"/>
    <w:multiLevelType w:val="hybridMultilevel"/>
    <w:tmpl w:val="0FF209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CCD0DAD"/>
    <w:multiLevelType w:val="multilevel"/>
    <w:tmpl w:val="BCA82E0C"/>
    <w:lvl w:ilvl="0">
      <w:start w:val="1"/>
      <w:numFmt w:val="decimal"/>
      <w:pStyle w:val="ListNumber2"/>
      <w:lvlText w:val="%1."/>
      <w:lvlJc w:val="left"/>
      <w:pPr>
        <w:tabs>
          <w:tab w:val="num" w:pos="720"/>
        </w:tabs>
        <w:ind w:left="720" w:hanging="720"/>
      </w:pPr>
    </w:lvl>
    <w:lvl w:ilvl="1">
      <w:start w:val="1"/>
      <w:numFmt w:val="decimal"/>
      <w:pStyle w:val="ListNumber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7FB80053"/>
    <w:multiLevelType w:val="hybridMultilevel"/>
    <w:tmpl w:val="410E0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0545128">
    <w:abstractNumId w:val="1"/>
  </w:num>
  <w:num w:numId="2" w16cid:durableId="908540578">
    <w:abstractNumId w:val="0"/>
  </w:num>
  <w:num w:numId="3" w16cid:durableId="582642139">
    <w:abstractNumId w:val="20"/>
  </w:num>
  <w:num w:numId="4" w16cid:durableId="104809136">
    <w:abstractNumId w:val="13"/>
  </w:num>
  <w:num w:numId="5" w16cid:durableId="615143747">
    <w:abstractNumId w:val="14"/>
  </w:num>
  <w:num w:numId="6" w16cid:durableId="1675454491">
    <w:abstractNumId w:val="16"/>
  </w:num>
  <w:num w:numId="7" w16cid:durableId="1706297377">
    <w:abstractNumId w:val="6"/>
  </w:num>
  <w:num w:numId="8" w16cid:durableId="58017600">
    <w:abstractNumId w:val="17"/>
  </w:num>
  <w:num w:numId="9" w16cid:durableId="52197022">
    <w:abstractNumId w:val="3"/>
  </w:num>
  <w:num w:numId="10" w16cid:durableId="390730836">
    <w:abstractNumId w:val="9"/>
  </w:num>
  <w:num w:numId="11" w16cid:durableId="274144229">
    <w:abstractNumId w:val="11"/>
  </w:num>
  <w:num w:numId="12" w16cid:durableId="1794253043">
    <w:abstractNumId w:val="12"/>
  </w:num>
  <w:num w:numId="13" w16cid:durableId="1380979435">
    <w:abstractNumId w:val="7"/>
  </w:num>
  <w:num w:numId="14" w16cid:durableId="1984653484">
    <w:abstractNumId w:val="19"/>
  </w:num>
  <w:num w:numId="15" w16cid:durableId="1742369315">
    <w:abstractNumId w:val="10"/>
  </w:num>
  <w:num w:numId="16" w16cid:durableId="573785494">
    <w:abstractNumId w:val="4"/>
  </w:num>
  <w:num w:numId="17" w16cid:durableId="360860838">
    <w:abstractNumId w:val="18"/>
  </w:num>
  <w:num w:numId="18" w16cid:durableId="2002541942">
    <w:abstractNumId w:val="8"/>
  </w:num>
  <w:num w:numId="19" w16cid:durableId="61412371">
    <w:abstractNumId w:val="21"/>
  </w:num>
  <w:num w:numId="20" w16cid:durableId="2096586806">
    <w:abstractNumId w:val="5"/>
  </w:num>
  <w:num w:numId="21" w16cid:durableId="1569027395">
    <w:abstractNumId w:val="2"/>
  </w:num>
  <w:num w:numId="22" w16cid:durableId="243298122">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FFA"/>
    <w:rsid w:val="00000D1D"/>
    <w:rsid w:val="00001D01"/>
    <w:rsid w:val="00002CFD"/>
    <w:rsid w:val="00002D1F"/>
    <w:rsid w:val="000031FD"/>
    <w:rsid w:val="00003663"/>
    <w:rsid w:val="000049C4"/>
    <w:rsid w:val="00004A36"/>
    <w:rsid w:val="00005A9A"/>
    <w:rsid w:val="00005EA9"/>
    <w:rsid w:val="0001051A"/>
    <w:rsid w:val="00010949"/>
    <w:rsid w:val="00010BBF"/>
    <w:rsid w:val="00010EB4"/>
    <w:rsid w:val="000116FC"/>
    <w:rsid w:val="000122A6"/>
    <w:rsid w:val="00014015"/>
    <w:rsid w:val="00014AFA"/>
    <w:rsid w:val="00015295"/>
    <w:rsid w:val="000156F5"/>
    <w:rsid w:val="00016A31"/>
    <w:rsid w:val="00016F9F"/>
    <w:rsid w:val="00017D9A"/>
    <w:rsid w:val="0002077D"/>
    <w:rsid w:val="00020DA3"/>
    <w:rsid w:val="00020E71"/>
    <w:rsid w:val="00020EC4"/>
    <w:rsid w:val="0002121F"/>
    <w:rsid w:val="000217FC"/>
    <w:rsid w:val="00021861"/>
    <w:rsid w:val="00021AFB"/>
    <w:rsid w:val="00023217"/>
    <w:rsid w:val="00023F08"/>
    <w:rsid w:val="00026593"/>
    <w:rsid w:val="00026910"/>
    <w:rsid w:val="0002720A"/>
    <w:rsid w:val="00027A70"/>
    <w:rsid w:val="00030F06"/>
    <w:rsid w:val="00031990"/>
    <w:rsid w:val="00031EB0"/>
    <w:rsid w:val="00033425"/>
    <w:rsid w:val="00033883"/>
    <w:rsid w:val="00033ED3"/>
    <w:rsid w:val="0003427E"/>
    <w:rsid w:val="0003440E"/>
    <w:rsid w:val="00034DE9"/>
    <w:rsid w:val="000355D0"/>
    <w:rsid w:val="0003694F"/>
    <w:rsid w:val="000370AB"/>
    <w:rsid w:val="0004070C"/>
    <w:rsid w:val="0004081E"/>
    <w:rsid w:val="000426C7"/>
    <w:rsid w:val="000427A3"/>
    <w:rsid w:val="000438F6"/>
    <w:rsid w:val="000445C1"/>
    <w:rsid w:val="000448A1"/>
    <w:rsid w:val="0004493F"/>
    <w:rsid w:val="000451AD"/>
    <w:rsid w:val="00045A86"/>
    <w:rsid w:val="00046132"/>
    <w:rsid w:val="000475A0"/>
    <w:rsid w:val="000511F8"/>
    <w:rsid w:val="00051BB6"/>
    <w:rsid w:val="00051FCC"/>
    <w:rsid w:val="0005213C"/>
    <w:rsid w:val="00052644"/>
    <w:rsid w:val="00055090"/>
    <w:rsid w:val="0005533B"/>
    <w:rsid w:val="000566AB"/>
    <w:rsid w:val="00056945"/>
    <w:rsid w:val="00056EC2"/>
    <w:rsid w:val="0005778A"/>
    <w:rsid w:val="00057962"/>
    <w:rsid w:val="0006005B"/>
    <w:rsid w:val="00060115"/>
    <w:rsid w:val="0006363A"/>
    <w:rsid w:val="000648A3"/>
    <w:rsid w:val="00064935"/>
    <w:rsid w:val="00065AA6"/>
    <w:rsid w:val="0006646F"/>
    <w:rsid w:val="000703D1"/>
    <w:rsid w:val="000708C8"/>
    <w:rsid w:val="0007391E"/>
    <w:rsid w:val="000741B6"/>
    <w:rsid w:val="000749A4"/>
    <w:rsid w:val="0007655A"/>
    <w:rsid w:val="00076F9A"/>
    <w:rsid w:val="000771A3"/>
    <w:rsid w:val="000772D8"/>
    <w:rsid w:val="000777EE"/>
    <w:rsid w:val="000779CC"/>
    <w:rsid w:val="000801BE"/>
    <w:rsid w:val="000808AE"/>
    <w:rsid w:val="00080C94"/>
    <w:rsid w:val="00082A11"/>
    <w:rsid w:val="00084F36"/>
    <w:rsid w:val="00085253"/>
    <w:rsid w:val="00085F21"/>
    <w:rsid w:val="000862B6"/>
    <w:rsid w:val="0008641C"/>
    <w:rsid w:val="00087086"/>
    <w:rsid w:val="00087EF8"/>
    <w:rsid w:val="000908D2"/>
    <w:rsid w:val="00090B1C"/>
    <w:rsid w:val="00090B69"/>
    <w:rsid w:val="00091B35"/>
    <w:rsid w:val="0009352B"/>
    <w:rsid w:val="00093BA3"/>
    <w:rsid w:val="000949C3"/>
    <w:rsid w:val="00096186"/>
    <w:rsid w:val="00096243"/>
    <w:rsid w:val="0009638D"/>
    <w:rsid w:val="0009787A"/>
    <w:rsid w:val="000A23B6"/>
    <w:rsid w:val="000A3160"/>
    <w:rsid w:val="000A4518"/>
    <w:rsid w:val="000A5832"/>
    <w:rsid w:val="000B00E8"/>
    <w:rsid w:val="000B16F2"/>
    <w:rsid w:val="000B1F84"/>
    <w:rsid w:val="000B3832"/>
    <w:rsid w:val="000B3B7D"/>
    <w:rsid w:val="000B4311"/>
    <w:rsid w:val="000B44EB"/>
    <w:rsid w:val="000B574B"/>
    <w:rsid w:val="000B65A6"/>
    <w:rsid w:val="000B6AD3"/>
    <w:rsid w:val="000C13DC"/>
    <w:rsid w:val="000C1A3C"/>
    <w:rsid w:val="000C24D9"/>
    <w:rsid w:val="000C2895"/>
    <w:rsid w:val="000C3C84"/>
    <w:rsid w:val="000C3DB9"/>
    <w:rsid w:val="000C4087"/>
    <w:rsid w:val="000C4493"/>
    <w:rsid w:val="000C5150"/>
    <w:rsid w:val="000C5D72"/>
    <w:rsid w:val="000C5DA6"/>
    <w:rsid w:val="000C6339"/>
    <w:rsid w:val="000D0B91"/>
    <w:rsid w:val="000D3CA5"/>
    <w:rsid w:val="000D3D40"/>
    <w:rsid w:val="000D3D5B"/>
    <w:rsid w:val="000D54F8"/>
    <w:rsid w:val="000D5C86"/>
    <w:rsid w:val="000D5F3B"/>
    <w:rsid w:val="000D613E"/>
    <w:rsid w:val="000D624D"/>
    <w:rsid w:val="000D6584"/>
    <w:rsid w:val="000D6A65"/>
    <w:rsid w:val="000D6FD9"/>
    <w:rsid w:val="000D7DA9"/>
    <w:rsid w:val="000E069A"/>
    <w:rsid w:val="000E2F08"/>
    <w:rsid w:val="000E3149"/>
    <w:rsid w:val="000E316A"/>
    <w:rsid w:val="000E5BC6"/>
    <w:rsid w:val="000E7646"/>
    <w:rsid w:val="000F0BB8"/>
    <w:rsid w:val="000F1735"/>
    <w:rsid w:val="000F2252"/>
    <w:rsid w:val="000F2F7B"/>
    <w:rsid w:val="000F49C9"/>
    <w:rsid w:val="000F50F5"/>
    <w:rsid w:val="000F53D9"/>
    <w:rsid w:val="000F55DF"/>
    <w:rsid w:val="000F5861"/>
    <w:rsid w:val="000F6C6C"/>
    <w:rsid w:val="000F7755"/>
    <w:rsid w:val="000F7EB0"/>
    <w:rsid w:val="0010088B"/>
    <w:rsid w:val="00100EA0"/>
    <w:rsid w:val="001011C8"/>
    <w:rsid w:val="00101C22"/>
    <w:rsid w:val="001023CC"/>
    <w:rsid w:val="00103170"/>
    <w:rsid w:val="0010326C"/>
    <w:rsid w:val="00105C7F"/>
    <w:rsid w:val="00105E39"/>
    <w:rsid w:val="001060A0"/>
    <w:rsid w:val="001100F7"/>
    <w:rsid w:val="001106EB"/>
    <w:rsid w:val="001115F0"/>
    <w:rsid w:val="001117F2"/>
    <w:rsid w:val="001122DC"/>
    <w:rsid w:val="0011266B"/>
    <w:rsid w:val="00112709"/>
    <w:rsid w:val="00112B77"/>
    <w:rsid w:val="001136E9"/>
    <w:rsid w:val="00113A7A"/>
    <w:rsid w:val="00115976"/>
    <w:rsid w:val="00116C26"/>
    <w:rsid w:val="00117D26"/>
    <w:rsid w:val="001212BD"/>
    <w:rsid w:val="00122A63"/>
    <w:rsid w:val="00123065"/>
    <w:rsid w:val="00124230"/>
    <w:rsid w:val="00124F78"/>
    <w:rsid w:val="0012624B"/>
    <w:rsid w:val="001265A4"/>
    <w:rsid w:val="00127FB2"/>
    <w:rsid w:val="00132548"/>
    <w:rsid w:val="00132752"/>
    <w:rsid w:val="0013306D"/>
    <w:rsid w:val="00133DF7"/>
    <w:rsid w:val="00135556"/>
    <w:rsid w:val="00135B41"/>
    <w:rsid w:val="00135D94"/>
    <w:rsid w:val="00136EB4"/>
    <w:rsid w:val="001373A3"/>
    <w:rsid w:val="00137897"/>
    <w:rsid w:val="00137BE8"/>
    <w:rsid w:val="00137C56"/>
    <w:rsid w:val="00140A84"/>
    <w:rsid w:val="00140F31"/>
    <w:rsid w:val="00140FC0"/>
    <w:rsid w:val="00141374"/>
    <w:rsid w:val="00142528"/>
    <w:rsid w:val="00143FC2"/>
    <w:rsid w:val="001440A5"/>
    <w:rsid w:val="00144BCC"/>
    <w:rsid w:val="00146BD1"/>
    <w:rsid w:val="00146CA5"/>
    <w:rsid w:val="00147018"/>
    <w:rsid w:val="00147875"/>
    <w:rsid w:val="00150130"/>
    <w:rsid w:val="0015238C"/>
    <w:rsid w:val="001530B6"/>
    <w:rsid w:val="00153372"/>
    <w:rsid w:val="00153941"/>
    <w:rsid w:val="00153997"/>
    <w:rsid w:val="001549BE"/>
    <w:rsid w:val="00155FFB"/>
    <w:rsid w:val="001563BF"/>
    <w:rsid w:val="00156C1A"/>
    <w:rsid w:val="001604A8"/>
    <w:rsid w:val="00160772"/>
    <w:rsid w:val="00161167"/>
    <w:rsid w:val="00161F95"/>
    <w:rsid w:val="00162A7C"/>
    <w:rsid w:val="001675D8"/>
    <w:rsid w:val="00167C36"/>
    <w:rsid w:val="0017068C"/>
    <w:rsid w:val="00173BE7"/>
    <w:rsid w:val="0017417F"/>
    <w:rsid w:val="00174E3B"/>
    <w:rsid w:val="00175230"/>
    <w:rsid w:val="001768A6"/>
    <w:rsid w:val="0018236C"/>
    <w:rsid w:val="00183BD6"/>
    <w:rsid w:val="001842F1"/>
    <w:rsid w:val="00184542"/>
    <w:rsid w:val="001849D7"/>
    <w:rsid w:val="001849EE"/>
    <w:rsid w:val="00185AEA"/>
    <w:rsid w:val="001878B1"/>
    <w:rsid w:val="001878CE"/>
    <w:rsid w:val="0018796E"/>
    <w:rsid w:val="00187FAE"/>
    <w:rsid w:val="00192AB3"/>
    <w:rsid w:val="00193150"/>
    <w:rsid w:val="00195120"/>
    <w:rsid w:val="001956DE"/>
    <w:rsid w:val="00195747"/>
    <w:rsid w:val="00195D82"/>
    <w:rsid w:val="001971D0"/>
    <w:rsid w:val="001A0422"/>
    <w:rsid w:val="001A050D"/>
    <w:rsid w:val="001A0616"/>
    <w:rsid w:val="001A07A9"/>
    <w:rsid w:val="001A0891"/>
    <w:rsid w:val="001A0A0D"/>
    <w:rsid w:val="001A1267"/>
    <w:rsid w:val="001A13F4"/>
    <w:rsid w:val="001A18B9"/>
    <w:rsid w:val="001A1A84"/>
    <w:rsid w:val="001A1A92"/>
    <w:rsid w:val="001A1E92"/>
    <w:rsid w:val="001A1ED9"/>
    <w:rsid w:val="001A1FAD"/>
    <w:rsid w:val="001A222B"/>
    <w:rsid w:val="001A2259"/>
    <w:rsid w:val="001A3245"/>
    <w:rsid w:val="001A61D1"/>
    <w:rsid w:val="001A68C3"/>
    <w:rsid w:val="001A7B3F"/>
    <w:rsid w:val="001B0B8B"/>
    <w:rsid w:val="001B0DBD"/>
    <w:rsid w:val="001B11CD"/>
    <w:rsid w:val="001B18D0"/>
    <w:rsid w:val="001B27C1"/>
    <w:rsid w:val="001B4077"/>
    <w:rsid w:val="001B4508"/>
    <w:rsid w:val="001B4535"/>
    <w:rsid w:val="001B4DBB"/>
    <w:rsid w:val="001B5239"/>
    <w:rsid w:val="001B5586"/>
    <w:rsid w:val="001B5FEC"/>
    <w:rsid w:val="001B638A"/>
    <w:rsid w:val="001B6A20"/>
    <w:rsid w:val="001B6BC9"/>
    <w:rsid w:val="001C0512"/>
    <w:rsid w:val="001C19B2"/>
    <w:rsid w:val="001C1C13"/>
    <w:rsid w:val="001C2133"/>
    <w:rsid w:val="001C2AFA"/>
    <w:rsid w:val="001C3078"/>
    <w:rsid w:val="001C3B17"/>
    <w:rsid w:val="001C4102"/>
    <w:rsid w:val="001C5C13"/>
    <w:rsid w:val="001C5E0A"/>
    <w:rsid w:val="001C5FDA"/>
    <w:rsid w:val="001C6E29"/>
    <w:rsid w:val="001C7666"/>
    <w:rsid w:val="001C77F3"/>
    <w:rsid w:val="001C7D4C"/>
    <w:rsid w:val="001D066A"/>
    <w:rsid w:val="001D0AE4"/>
    <w:rsid w:val="001D14BC"/>
    <w:rsid w:val="001D223F"/>
    <w:rsid w:val="001D2A95"/>
    <w:rsid w:val="001D4820"/>
    <w:rsid w:val="001D78CC"/>
    <w:rsid w:val="001D7AF7"/>
    <w:rsid w:val="001E1AAC"/>
    <w:rsid w:val="001E258D"/>
    <w:rsid w:val="001E2618"/>
    <w:rsid w:val="001E4761"/>
    <w:rsid w:val="001E543F"/>
    <w:rsid w:val="001E5B37"/>
    <w:rsid w:val="001E689E"/>
    <w:rsid w:val="001F0D99"/>
    <w:rsid w:val="001F18E8"/>
    <w:rsid w:val="001F1CE8"/>
    <w:rsid w:val="001F1EB8"/>
    <w:rsid w:val="001F38B3"/>
    <w:rsid w:val="001F3B39"/>
    <w:rsid w:val="001F3BA8"/>
    <w:rsid w:val="002000C7"/>
    <w:rsid w:val="0020221E"/>
    <w:rsid w:val="00202DE5"/>
    <w:rsid w:val="00202F7A"/>
    <w:rsid w:val="00203078"/>
    <w:rsid w:val="00203917"/>
    <w:rsid w:val="002046C9"/>
    <w:rsid w:val="00206ADF"/>
    <w:rsid w:val="002101D5"/>
    <w:rsid w:val="0021191D"/>
    <w:rsid w:val="002129AA"/>
    <w:rsid w:val="00212B05"/>
    <w:rsid w:val="00212BAB"/>
    <w:rsid w:val="00213007"/>
    <w:rsid w:val="00213099"/>
    <w:rsid w:val="00213D63"/>
    <w:rsid w:val="00213FE4"/>
    <w:rsid w:val="00214FC3"/>
    <w:rsid w:val="00215732"/>
    <w:rsid w:val="002158E2"/>
    <w:rsid w:val="00215AEF"/>
    <w:rsid w:val="002177D3"/>
    <w:rsid w:val="00217A32"/>
    <w:rsid w:val="002219A1"/>
    <w:rsid w:val="00221E11"/>
    <w:rsid w:val="002222EA"/>
    <w:rsid w:val="002231CD"/>
    <w:rsid w:val="00223372"/>
    <w:rsid w:val="0022350D"/>
    <w:rsid w:val="0022419B"/>
    <w:rsid w:val="00225D4D"/>
    <w:rsid w:val="00230004"/>
    <w:rsid w:val="002302FD"/>
    <w:rsid w:val="00230C52"/>
    <w:rsid w:val="00230F5C"/>
    <w:rsid w:val="00231043"/>
    <w:rsid w:val="00231423"/>
    <w:rsid w:val="00231679"/>
    <w:rsid w:val="00231ED9"/>
    <w:rsid w:val="0023284D"/>
    <w:rsid w:val="00232AC1"/>
    <w:rsid w:val="00232CF2"/>
    <w:rsid w:val="00232DD0"/>
    <w:rsid w:val="00233B38"/>
    <w:rsid w:val="00233D53"/>
    <w:rsid w:val="00233F18"/>
    <w:rsid w:val="002353DF"/>
    <w:rsid w:val="0023643D"/>
    <w:rsid w:val="0024024C"/>
    <w:rsid w:val="002409DC"/>
    <w:rsid w:val="00240A24"/>
    <w:rsid w:val="00240C06"/>
    <w:rsid w:val="00241BAE"/>
    <w:rsid w:val="00241C1D"/>
    <w:rsid w:val="00241E59"/>
    <w:rsid w:val="00241EED"/>
    <w:rsid w:val="0024222F"/>
    <w:rsid w:val="00243C1E"/>
    <w:rsid w:val="00244663"/>
    <w:rsid w:val="00244C7F"/>
    <w:rsid w:val="00245C5A"/>
    <w:rsid w:val="00246003"/>
    <w:rsid w:val="0024648B"/>
    <w:rsid w:val="002469CE"/>
    <w:rsid w:val="00246B89"/>
    <w:rsid w:val="0024791E"/>
    <w:rsid w:val="00252A28"/>
    <w:rsid w:val="002532A2"/>
    <w:rsid w:val="00253430"/>
    <w:rsid w:val="002554CE"/>
    <w:rsid w:val="002566EA"/>
    <w:rsid w:val="00261249"/>
    <w:rsid w:val="00261458"/>
    <w:rsid w:val="00261D6E"/>
    <w:rsid w:val="0026374B"/>
    <w:rsid w:val="002645B3"/>
    <w:rsid w:val="00264AA4"/>
    <w:rsid w:val="00265019"/>
    <w:rsid w:val="00265154"/>
    <w:rsid w:val="00267D8A"/>
    <w:rsid w:val="00271307"/>
    <w:rsid w:val="00272427"/>
    <w:rsid w:val="00272798"/>
    <w:rsid w:val="002731D5"/>
    <w:rsid w:val="00273580"/>
    <w:rsid w:val="0027368A"/>
    <w:rsid w:val="00273F79"/>
    <w:rsid w:val="00274830"/>
    <w:rsid w:val="00275BCD"/>
    <w:rsid w:val="002776A3"/>
    <w:rsid w:val="00280EB9"/>
    <w:rsid w:val="0028302C"/>
    <w:rsid w:val="002835DB"/>
    <w:rsid w:val="002843F7"/>
    <w:rsid w:val="00285ACF"/>
    <w:rsid w:val="00286201"/>
    <w:rsid w:val="00287D5E"/>
    <w:rsid w:val="00290704"/>
    <w:rsid w:val="00291BD1"/>
    <w:rsid w:val="00294B97"/>
    <w:rsid w:val="00295DC7"/>
    <w:rsid w:val="00296BD2"/>
    <w:rsid w:val="00297109"/>
    <w:rsid w:val="00297411"/>
    <w:rsid w:val="002975E6"/>
    <w:rsid w:val="00297EAE"/>
    <w:rsid w:val="002A0380"/>
    <w:rsid w:val="002A098E"/>
    <w:rsid w:val="002A108B"/>
    <w:rsid w:val="002A29FA"/>
    <w:rsid w:val="002A2FBA"/>
    <w:rsid w:val="002A3A42"/>
    <w:rsid w:val="002A3F8D"/>
    <w:rsid w:val="002A432A"/>
    <w:rsid w:val="002A4EA7"/>
    <w:rsid w:val="002A4FBF"/>
    <w:rsid w:val="002A5626"/>
    <w:rsid w:val="002A5DD6"/>
    <w:rsid w:val="002A644A"/>
    <w:rsid w:val="002A6D05"/>
    <w:rsid w:val="002A6FBC"/>
    <w:rsid w:val="002A709B"/>
    <w:rsid w:val="002A7168"/>
    <w:rsid w:val="002A75B5"/>
    <w:rsid w:val="002B048F"/>
    <w:rsid w:val="002B0B24"/>
    <w:rsid w:val="002B0ECB"/>
    <w:rsid w:val="002B1B0E"/>
    <w:rsid w:val="002B2D51"/>
    <w:rsid w:val="002B42D0"/>
    <w:rsid w:val="002B5195"/>
    <w:rsid w:val="002B5694"/>
    <w:rsid w:val="002B590D"/>
    <w:rsid w:val="002B6369"/>
    <w:rsid w:val="002B63B9"/>
    <w:rsid w:val="002C15A5"/>
    <w:rsid w:val="002C20D4"/>
    <w:rsid w:val="002C2517"/>
    <w:rsid w:val="002C3FAB"/>
    <w:rsid w:val="002C4F77"/>
    <w:rsid w:val="002C62CC"/>
    <w:rsid w:val="002C7139"/>
    <w:rsid w:val="002C785B"/>
    <w:rsid w:val="002C7C22"/>
    <w:rsid w:val="002C7CDD"/>
    <w:rsid w:val="002D03B4"/>
    <w:rsid w:val="002D0DB0"/>
    <w:rsid w:val="002D10DB"/>
    <w:rsid w:val="002D18F0"/>
    <w:rsid w:val="002D194C"/>
    <w:rsid w:val="002D280C"/>
    <w:rsid w:val="002D2D07"/>
    <w:rsid w:val="002D2E85"/>
    <w:rsid w:val="002D3AE3"/>
    <w:rsid w:val="002D44BE"/>
    <w:rsid w:val="002D4D42"/>
    <w:rsid w:val="002D4D58"/>
    <w:rsid w:val="002D61A1"/>
    <w:rsid w:val="002D6406"/>
    <w:rsid w:val="002D65AD"/>
    <w:rsid w:val="002D69F9"/>
    <w:rsid w:val="002D72BE"/>
    <w:rsid w:val="002D7B1A"/>
    <w:rsid w:val="002D7E81"/>
    <w:rsid w:val="002E024C"/>
    <w:rsid w:val="002E0541"/>
    <w:rsid w:val="002E0A20"/>
    <w:rsid w:val="002E14F6"/>
    <w:rsid w:val="002E19EE"/>
    <w:rsid w:val="002E1C95"/>
    <w:rsid w:val="002E21BD"/>
    <w:rsid w:val="002E28D8"/>
    <w:rsid w:val="002E31E0"/>
    <w:rsid w:val="002E37E6"/>
    <w:rsid w:val="002E3B07"/>
    <w:rsid w:val="002E3EB0"/>
    <w:rsid w:val="002E4285"/>
    <w:rsid w:val="002E47A3"/>
    <w:rsid w:val="002E5FF4"/>
    <w:rsid w:val="002E7202"/>
    <w:rsid w:val="002F292F"/>
    <w:rsid w:val="002F2A2B"/>
    <w:rsid w:val="002F2D7E"/>
    <w:rsid w:val="002F3582"/>
    <w:rsid w:val="002F465E"/>
    <w:rsid w:val="002F4DBF"/>
    <w:rsid w:val="002F4F7B"/>
    <w:rsid w:val="002F5C92"/>
    <w:rsid w:val="002F6108"/>
    <w:rsid w:val="002F64A9"/>
    <w:rsid w:val="002F6C95"/>
    <w:rsid w:val="00301716"/>
    <w:rsid w:val="003024CE"/>
    <w:rsid w:val="003025FF"/>
    <w:rsid w:val="00303995"/>
    <w:rsid w:val="00304E6D"/>
    <w:rsid w:val="0030574F"/>
    <w:rsid w:val="003069FF"/>
    <w:rsid w:val="00306AAE"/>
    <w:rsid w:val="00307499"/>
    <w:rsid w:val="00307E1C"/>
    <w:rsid w:val="003102A2"/>
    <w:rsid w:val="003102D9"/>
    <w:rsid w:val="0031238C"/>
    <w:rsid w:val="00312663"/>
    <w:rsid w:val="003130AC"/>
    <w:rsid w:val="003138BA"/>
    <w:rsid w:val="0031455B"/>
    <w:rsid w:val="00314F76"/>
    <w:rsid w:val="00315900"/>
    <w:rsid w:val="003167F2"/>
    <w:rsid w:val="00317567"/>
    <w:rsid w:val="00317814"/>
    <w:rsid w:val="003216EA"/>
    <w:rsid w:val="00323360"/>
    <w:rsid w:val="00323E9D"/>
    <w:rsid w:val="00327254"/>
    <w:rsid w:val="00327A62"/>
    <w:rsid w:val="0033198D"/>
    <w:rsid w:val="00335157"/>
    <w:rsid w:val="00335528"/>
    <w:rsid w:val="00335AFD"/>
    <w:rsid w:val="003364BC"/>
    <w:rsid w:val="00337426"/>
    <w:rsid w:val="0033742C"/>
    <w:rsid w:val="0034007A"/>
    <w:rsid w:val="0034069B"/>
    <w:rsid w:val="00341E05"/>
    <w:rsid w:val="00341FC1"/>
    <w:rsid w:val="00342482"/>
    <w:rsid w:val="00345080"/>
    <w:rsid w:val="003456D5"/>
    <w:rsid w:val="00345ED8"/>
    <w:rsid w:val="00346C4D"/>
    <w:rsid w:val="00350E8C"/>
    <w:rsid w:val="00351431"/>
    <w:rsid w:val="0035147D"/>
    <w:rsid w:val="00354335"/>
    <w:rsid w:val="003548B8"/>
    <w:rsid w:val="00355377"/>
    <w:rsid w:val="003563AB"/>
    <w:rsid w:val="00356D16"/>
    <w:rsid w:val="00362672"/>
    <w:rsid w:val="00362B92"/>
    <w:rsid w:val="00364072"/>
    <w:rsid w:val="003659BD"/>
    <w:rsid w:val="003670C5"/>
    <w:rsid w:val="003701D3"/>
    <w:rsid w:val="0037173E"/>
    <w:rsid w:val="003723A5"/>
    <w:rsid w:val="003725E6"/>
    <w:rsid w:val="00373E1B"/>
    <w:rsid w:val="00373EB6"/>
    <w:rsid w:val="00374565"/>
    <w:rsid w:val="0037458F"/>
    <w:rsid w:val="00374E3F"/>
    <w:rsid w:val="0037529C"/>
    <w:rsid w:val="0037577F"/>
    <w:rsid w:val="00380371"/>
    <w:rsid w:val="00380C18"/>
    <w:rsid w:val="00380CED"/>
    <w:rsid w:val="00380E8C"/>
    <w:rsid w:val="003812C1"/>
    <w:rsid w:val="00381F95"/>
    <w:rsid w:val="0038246F"/>
    <w:rsid w:val="00382607"/>
    <w:rsid w:val="00382C38"/>
    <w:rsid w:val="0038485F"/>
    <w:rsid w:val="00384BAF"/>
    <w:rsid w:val="00385482"/>
    <w:rsid w:val="003858E7"/>
    <w:rsid w:val="00386843"/>
    <w:rsid w:val="00386B11"/>
    <w:rsid w:val="00386B87"/>
    <w:rsid w:val="00387E7B"/>
    <w:rsid w:val="003905AE"/>
    <w:rsid w:val="00390EF7"/>
    <w:rsid w:val="00391376"/>
    <w:rsid w:val="003914F8"/>
    <w:rsid w:val="00392754"/>
    <w:rsid w:val="00392BFF"/>
    <w:rsid w:val="00394D0E"/>
    <w:rsid w:val="00395073"/>
    <w:rsid w:val="00395B70"/>
    <w:rsid w:val="00397165"/>
    <w:rsid w:val="00397863"/>
    <w:rsid w:val="003A02A9"/>
    <w:rsid w:val="003A0D1B"/>
    <w:rsid w:val="003A176C"/>
    <w:rsid w:val="003A23EA"/>
    <w:rsid w:val="003A25D2"/>
    <w:rsid w:val="003A6136"/>
    <w:rsid w:val="003A65A1"/>
    <w:rsid w:val="003A65B1"/>
    <w:rsid w:val="003A66B3"/>
    <w:rsid w:val="003A6EFE"/>
    <w:rsid w:val="003B14A0"/>
    <w:rsid w:val="003B1973"/>
    <w:rsid w:val="003B2EF6"/>
    <w:rsid w:val="003B3AC2"/>
    <w:rsid w:val="003B47C8"/>
    <w:rsid w:val="003B706C"/>
    <w:rsid w:val="003C0541"/>
    <w:rsid w:val="003C103D"/>
    <w:rsid w:val="003C1AA8"/>
    <w:rsid w:val="003C240D"/>
    <w:rsid w:val="003C49DA"/>
    <w:rsid w:val="003C4AAB"/>
    <w:rsid w:val="003C4AC1"/>
    <w:rsid w:val="003C5344"/>
    <w:rsid w:val="003C54B4"/>
    <w:rsid w:val="003C5692"/>
    <w:rsid w:val="003C6948"/>
    <w:rsid w:val="003C77EC"/>
    <w:rsid w:val="003C783D"/>
    <w:rsid w:val="003D100C"/>
    <w:rsid w:val="003D11EF"/>
    <w:rsid w:val="003D1624"/>
    <w:rsid w:val="003D187D"/>
    <w:rsid w:val="003D3508"/>
    <w:rsid w:val="003D3B9A"/>
    <w:rsid w:val="003D3E93"/>
    <w:rsid w:val="003D6483"/>
    <w:rsid w:val="003D71A4"/>
    <w:rsid w:val="003D7D01"/>
    <w:rsid w:val="003E029C"/>
    <w:rsid w:val="003E0507"/>
    <w:rsid w:val="003E05E8"/>
    <w:rsid w:val="003E08E2"/>
    <w:rsid w:val="003E0E3C"/>
    <w:rsid w:val="003E12A8"/>
    <w:rsid w:val="003E24E9"/>
    <w:rsid w:val="003E3982"/>
    <w:rsid w:val="003E49FA"/>
    <w:rsid w:val="003E62EA"/>
    <w:rsid w:val="003E74E8"/>
    <w:rsid w:val="003E794A"/>
    <w:rsid w:val="003F05D8"/>
    <w:rsid w:val="003F0E67"/>
    <w:rsid w:val="003F14A8"/>
    <w:rsid w:val="003F15F3"/>
    <w:rsid w:val="003F1AA8"/>
    <w:rsid w:val="003F287F"/>
    <w:rsid w:val="003F5C91"/>
    <w:rsid w:val="003F62DE"/>
    <w:rsid w:val="003F6E10"/>
    <w:rsid w:val="003F7373"/>
    <w:rsid w:val="003F775D"/>
    <w:rsid w:val="004005BF"/>
    <w:rsid w:val="00400653"/>
    <w:rsid w:val="00400D25"/>
    <w:rsid w:val="00400D62"/>
    <w:rsid w:val="00401A41"/>
    <w:rsid w:val="004029E2"/>
    <w:rsid w:val="00404C94"/>
    <w:rsid w:val="004071E6"/>
    <w:rsid w:val="00407A13"/>
    <w:rsid w:val="0041216A"/>
    <w:rsid w:val="00412807"/>
    <w:rsid w:val="0041305E"/>
    <w:rsid w:val="004146E4"/>
    <w:rsid w:val="00415312"/>
    <w:rsid w:val="00417635"/>
    <w:rsid w:val="0042052A"/>
    <w:rsid w:val="00421383"/>
    <w:rsid w:val="00422B63"/>
    <w:rsid w:val="004231EB"/>
    <w:rsid w:val="0042434C"/>
    <w:rsid w:val="00424B70"/>
    <w:rsid w:val="00424E9E"/>
    <w:rsid w:val="00425721"/>
    <w:rsid w:val="00426CFF"/>
    <w:rsid w:val="0042784B"/>
    <w:rsid w:val="00430C3A"/>
    <w:rsid w:val="00430C73"/>
    <w:rsid w:val="00431A34"/>
    <w:rsid w:val="00431FFD"/>
    <w:rsid w:val="00432425"/>
    <w:rsid w:val="00432664"/>
    <w:rsid w:val="00432D4C"/>
    <w:rsid w:val="0043315C"/>
    <w:rsid w:val="0043733E"/>
    <w:rsid w:val="00437E15"/>
    <w:rsid w:val="00440B23"/>
    <w:rsid w:val="00442BC8"/>
    <w:rsid w:val="00444227"/>
    <w:rsid w:val="004446A3"/>
    <w:rsid w:val="00445B69"/>
    <w:rsid w:val="00445C92"/>
    <w:rsid w:val="004465EC"/>
    <w:rsid w:val="00446B05"/>
    <w:rsid w:val="0044718A"/>
    <w:rsid w:val="00450E1E"/>
    <w:rsid w:val="00451FDB"/>
    <w:rsid w:val="00452D0D"/>
    <w:rsid w:val="00453713"/>
    <w:rsid w:val="00453AE9"/>
    <w:rsid w:val="00454D0E"/>
    <w:rsid w:val="00454FAF"/>
    <w:rsid w:val="004562A6"/>
    <w:rsid w:val="004572B0"/>
    <w:rsid w:val="004572B6"/>
    <w:rsid w:val="004573AD"/>
    <w:rsid w:val="00460459"/>
    <w:rsid w:val="004604DA"/>
    <w:rsid w:val="004609C8"/>
    <w:rsid w:val="0046107E"/>
    <w:rsid w:val="00461408"/>
    <w:rsid w:val="00462A86"/>
    <w:rsid w:val="00462D53"/>
    <w:rsid w:val="00463052"/>
    <w:rsid w:val="0046314F"/>
    <w:rsid w:val="00463F26"/>
    <w:rsid w:val="00464C71"/>
    <w:rsid w:val="00465BD8"/>
    <w:rsid w:val="004672BB"/>
    <w:rsid w:val="00467E9A"/>
    <w:rsid w:val="00470B60"/>
    <w:rsid w:val="004739FB"/>
    <w:rsid w:val="00473DCD"/>
    <w:rsid w:val="0047442C"/>
    <w:rsid w:val="0047443C"/>
    <w:rsid w:val="00475E14"/>
    <w:rsid w:val="004772FB"/>
    <w:rsid w:val="004811AF"/>
    <w:rsid w:val="0048310F"/>
    <w:rsid w:val="0048389F"/>
    <w:rsid w:val="004845A5"/>
    <w:rsid w:val="00485CE4"/>
    <w:rsid w:val="00486240"/>
    <w:rsid w:val="00487CE2"/>
    <w:rsid w:val="004908B1"/>
    <w:rsid w:val="004911C3"/>
    <w:rsid w:val="00491395"/>
    <w:rsid w:val="00491C85"/>
    <w:rsid w:val="004920DC"/>
    <w:rsid w:val="00494027"/>
    <w:rsid w:val="004945DB"/>
    <w:rsid w:val="0049491D"/>
    <w:rsid w:val="00495738"/>
    <w:rsid w:val="00495F46"/>
    <w:rsid w:val="0049661F"/>
    <w:rsid w:val="004A060B"/>
    <w:rsid w:val="004A1AC5"/>
    <w:rsid w:val="004A1F54"/>
    <w:rsid w:val="004A3BC2"/>
    <w:rsid w:val="004A4498"/>
    <w:rsid w:val="004A7137"/>
    <w:rsid w:val="004B0D64"/>
    <w:rsid w:val="004B10F0"/>
    <w:rsid w:val="004B110E"/>
    <w:rsid w:val="004B1A71"/>
    <w:rsid w:val="004B2131"/>
    <w:rsid w:val="004B2922"/>
    <w:rsid w:val="004B2D53"/>
    <w:rsid w:val="004B4914"/>
    <w:rsid w:val="004B5ED1"/>
    <w:rsid w:val="004B62F0"/>
    <w:rsid w:val="004B6A7C"/>
    <w:rsid w:val="004B73AF"/>
    <w:rsid w:val="004C0A01"/>
    <w:rsid w:val="004C0D05"/>
    <w:rsid w:val="004C1D2A"/>
    <w:rsid w:val="004C452A"/>
    <w:rsid w:val="004C700B"/>
    <w:rsid w:val="004C7DBC"/>
    <w:rsid w:val="004D14E6"/>
    <w:rsid w:val="004D1A53"/>
    <w:rsid w:val="004D2C3E"/>
    <w:rsid w:val="004D393F"/>
    <w:rsid w:val="004D43D7"/>
    <w:rsid w:val="004D4CDF"/>
    <w:rsid w:val="004D5A73"/>
    <w:rsid w:val="004D5FF6"/>
    <w:rsid w:val="004D76AC"/>
    <w:rsid w:val="004E1383"/>
    <w:rsid w:val="004E13EA"/>
    <w:rsid w:val="004E17B9"/>
    <w:rsid w:val="004E1DE8"/>
    <w:rsid w:val="004E30EA"/>
    <w:rsid w:val="004E47F9"/>
    <w:rsid w:val="004E4B15"/>
    <w:rsid w:val="004E6163"/>
    <w:rsid w:val="004E75DC"/>
    <w:rsid w:val="004F1401"/>
    <w:rsid w:val="004F1BE7"/>
    <w:rsid w:val="004F1C1A"/>
    <w:rsid w:val="004F1C8E"/>
    <w:rsid w:val="004F2CA2"/>
    <w:rsid w:val="004F3E62"/>
    <w:rsid w:val="004F5164"/>
    <w:rsid w:val="004F531F"/>
    <w:rsid w:val="004F6AE5"/>
    <w:rsid w:val="004F6BBA"/>
    <w:rsid w:val="004F73C3"/>
    <w:rsid w:val="004F7574"/>
    <w:rsid w:val="004F7BC8"/>
    <w:rsid w:val="00501CCE"/>
    <w:rsid w:val="00502223"/>
    <w:rsid w:val="005030AE"/>
    <w:rsid w:val="0050416D"/>
    <w:rsid w:val="005047D0"/>
    <w:rsid w:val="00504D5C"/>
    <w:rsid w:val="00510CA9"/>
    <w:rsid w:val="00510F3F"/>
    <w:rsid w:val="00511F71"/>
    <w:rsid w:val="0051290E"/>
    <w:rsid w:val="00512CA4"/>
    <w:rsid w:val="005133E7"/>
    <w:rsid w:val="005138A7"/>
    <w:rsid w:val="00513997"/>
    <w:rsid w:val="005140B3"/>
    <w:rsid w:val="005147E1"/>
    <w:rsid w:val="005154D7"/>
    <w:rsid w:val="0051637A"/>
    <w:rsid w:val="00517529"/>
    <w:rsid w:val="00517BF9"/>
    <w:rsid w:val="00517D5F"/>
    <w:rsid w:val="00525950"/>
    <w:rsid w:val="00527A4A"/>
    <w:rsid w:val="00527ACF"/>
    <w:rsid w:val="00530607"/>
    <w:rsid w:val="005329B8"/>
    <w:rsid w:val="005334EC"/>
    <w:rsid w:val="005342C1"/>
    <w:rsid w:val="005345BF"/>
    <w:rsid w:val="00540E0F"/>
    <w:rsid w:val="00541E4D"/>
    <w:rsid w:val="0054248B"/>
    <w:rsid w:val="00543079"/>
    <w:rsid w:val="00543713"/>
    <w:rsid w:val="00543822"/>
    <w:rsid w:val="0054409C"/>
    <w:rsid w:val="00544376"/>
    <w:rsid w:val="0054502C"/>
    <w:rsid w:val="0054550E"/>
    <w:rsid w:val="00545BAB"/>
    <w:rsid w:val="00545D81"/>
    <w:rsid w:val="005470F9"/>
    <w:rsid w:val="0054768E"/>
    <w:rsid w:val="00547E6A"/>
    <w:rsid w:val="00550567"/>
    <w:rsid w:val="00550A56"/>
    <w:rsid w:val="00550BC9"/>
    <w:rsid w:val="00550FC8"/>
    <w:rsid w:val="00551DD5"/>
    <w:rsid w:val="00552526"/>
    <w:rsid w:val="0055284F"/>
    <w:rsid w:val="00552BC0"/>
    <w:rsid w:val="0055315E"/>
    <w:rsid w:val="00554306"/>
    <w:rsid w:val="005544E8"/>
    <w:rsid w:val="00554B9C"/>
    <w:rsid w:val="0055507C"/>
    <w:rsid w:val="00555CE9"/>
    <w:rsid w:val="005564A9"/>
    <w:rsid w:val="00556740"/>
    <w:rsid w:val="00556D21"/>
    <w:rsid w:val="00556FD1"/>
    <w:rsid w:val="0055777E"/>
    <w:rsid w:val="00562AEA"/>
    <w:rsid w:val="005639FF"/>
    <w:rsid w:val="00565246"/>
    <w:rsid w:val="00565FFA"/>
    <w:rsid w:val="00566601"/>
    <w:rsid w:val="00566DBF"/>
    <w:rsid w:val="00567335"/>
    <w:rsid w:val="00567BC0"/>
    <w:rsid w:val="00575901"/>
    <w:rsid w:val="00576002"/>
    <w:rsid w:val="0057611E"/>
    <w:rsid w:val="005763BE"/>
    <w:rsid w:val="00576669"/>
    <w:rsid w:val="00577205"/>
    <w:rsid w:val="005772A6"/>
    <w:rsid w:val="00580B55"/>
    <w:rsid w:val="00580C5F"/>
    <w:rsid w:val="00581160"/>
    <w:rsid w:val="00581531"/>
    <w:rsid w:val="005871E6"/>
    <w:rsid w:val="005901B0"/>
    <w:rsid w:val="00590408"/>
    <w:rsid w:val="00590D14"/>
    <w:rsid w:val="0059199B"/>
    <w:rsid w:val="00592309"/>
    <w:rsid w:val="00593720"/>
    <w:rsid w:val="00593A31"/>
    <w:rsid w:val="00595335"/>
    <w:rsid w:val="00595D0C"/>
    <w:rsid w:val="0059768A"/>
    <w:rsid w:val="005A0660"/>
    <w:rsid w:val="005A1F21"/>
    <w:rsid w:val="005A3749"/>
    <w:rsid w:val="005A3836"/>
    <w:rsid w:val="005A4831"/>
    <w:rsid w:val="005A670A"/>
    <w:rsid w:val="005A6822"/>
    <w:rsid w:val="005A705A"/>
    <w:rsid w:val="005B0177"/>
    <w:rsid w:val="005B08EA"/>
    <w:rsid w:val="005B092A"/>
    <w:rsid w:val="005B099E"/>
    <w:rsid w:val="005B0AAA"/>
    <w:rsid w:val="005B1E77"/>
    <w:rsid w:val="005B353B"/>
    <w:rsid w:val="005B64CE"/>
    <w:rsid w:val="005B6646"/>
    <w:rsid w:val="005B6DBB"/>
    <w:rsid w:val="005B6EF0"/>
    <w:rsid w:val="005B706F"/>
    <w:rsid w:val="005B748F"/>
    <w:rsid w:val="005B7B3E"/>
    <w:rsid w:val="005C0198"/>
    <w:rsid w:val="005C277B"/>
    <w:rsid w:val="005C4009"/>
    <w:rsid w:val="005C51D2"/>
    <w:rsid w:val="005C51DA"/>
    <w:rsid w:val="005C5B2C"/>
    <w:rsid w:val="005C5D85"/>
    <w:rsid w:val="005C6423"/>
    <w:rsid w:val="005C6FC8"/>
    <w:rsid w:val="005C763C"/>
    <w:rsid w:val="005C7704"/>
    <w:rsid w:val="005C7AC3"/>
    <w:rsid w:val="005D044D"/>
    <w:rsid w:val="005D0702"/>
    <w:rsid w:val="005D0FD6"/>
    <w:rsid w:val="005D2D9D"/>
    <w:rsid w:val="005D7C7F"/>
    <w:rsid w:val="005E0021"/>
    <w:rsid w:val="005E1FE7"/>
    <w:rsid w:val="005E454F"/>
    <w:rsid w:val="005E47A1"/>
    <w:rsid w:val="005E4AEA"/>
    <w:rsid w:val="005E6DEA"/>
    <w:rsid w:val="005F0676"/>
    <w:rsid w:val="005F08D6"/>
    <w:rsid w:val="005F1019"/>
    <w:rsid w:val="005F1FC6"/>
    <w:rsid w:val="005F217C"/>
    <w:rsid w:val="005F21AC"/>
    <w:rsid w:val="005F2757"/>
    <w:rsid w:val="005F3F31"/>
    <w:rsid w:val="005F4482"/>
    <w:rsid w:val="005F4A89"/>
    <w:rsid w:val="005F5559"/>
    <w:rsid w:val="005F5CDD"/>
    <w:rsid w:val="005F5DD5"/>
    <w:rsid w:val="005F62CB"/>
    <w:rsid w:val="005F6F5F"/>
    <w:rsid w:val="005F7333"/>
    <w:rsid w:val="005F78E4"/>
    <w:rsid w:val="006028EE"/>
    <w:rsid w:val="00603FB3"/>
    <w:rsid w:val="0060480C"/>
    <w:rsid w:val="00604857"/>
    <w:rsid w:val="00604F37"/>
    <w:rsid w:val="006057F7"/>
    <w:rsid w:val="00605B5E"/>
    <w:rsid w:val="00605C1D"/>
    <w:rsid w:val="006069F3"/>
    <w:rsid w:val="006079A2"/>
    <w:rsid w:val="006107F1"/>
    <w:rsid w:val="00610E4D"/>
    <w:rsid w:val="006111AE"/>
    <w:rsid w:val="00611444"/>
    <w:rsid w:val="00611752"/>
    <w:rsid w:val="0061197A"/>
    <w:rsid w:val="00611E87"/>
    <w:rsid w:val="0061293E"/>
    <w:rsid w:val="00612F8F"/>
    <w:rsid w:val="00613235"/>
    <w:rsid w:val="00613995"/>
    <w:rsid w:val="00613CA9"/>
    <w:rsid w:val="00614372"/>
    <w:rsid w:val="006144B0"/>
    <w:rsid w:val="006149CE"/>
    <w:rsid w:val="00616FDC"/>
    <w:rsid w:val="0061766E"/>
    <w:rsid w:val="006212D8"/>
    <w:rsid w:val="00621C4F"/>
    <w:rsid w:val="00622A0C"/>
    <w:rsid w:val="006232B3"/>
    <w:rsid w:val="00626980"/>
    <w:rsid w:val="00630B1B"/>
    <w:rsid w:val="00631265"/>
    <w:rsid w:val="0063177C"/>
    <w:rsid w:val="00631B18"/>
    <w:rsid w:val="0063307C"/>
    <w:rsid w:val="006334AB"/>
    <w:rsid w:val="0063379F"/>
    <w:rsid w:val="00633FB3"/>
    <w:rsid w:val="00635912"/>
    <w:rsid w:val="00636401"/>
    <w:rsid w:val="00636AC2"/>
    <w:rsid w:val="0063774D"/>
    <w:rsid w:val="00637B0A"/>
    <w:rsid w:val="00640036"/>
    <w:rsid w:val="006403B7"/>
    <w:rsid w:val="0064051D"/>
    <w:rsid w:val="006406FE"/>
    <w:rsid w:val="00640992"/>
    <w:rsid w:val="00641FC0"/>
    <w:rsid w:val="00642922"/>
    <w:rsid w:val="00643340"/>
    <w:rsid w:val="00643760"/>
    <w:rsid w:val="006442E3"/>
    <w:rsid w:val="00644DB2"/>
    <w:rsid w:val="00644F6E"/>
    <w:rsid w:val="00645375"/>
    <w:rsid w:val="00645A70"/>
    <w:rsid w:val="00646804"/>
    <w:rsid w:val="00646920"/>
    <w:rsid w:val="00646E17"/>
    <w:rsid w:val="00650FE2"/>
    <w:rsid w:val="00651C27"/>
    <w:rsid w:val="00651E35"/>
    <w:rsid w:val="0065351E"/>
    <w:rsid w:val="00653B89"/>
    <w:rsid w:val="00653E15"/>
    <w:rsid w:val="00653EF5"/>
    <w:rsid w:val="00654F50"/>
    <w:rsid w:val="006555DC"/>
    <w:rsid w:val="00655C9E"/>
    <w:rsid w:val="00656329"/>
    <w:rsid w:val="0065640C"/>
    <w:rsid w:val="00656547"/>
    <w:rsid w:val="00657D2E"/>
    <w:rsid w:val="00661085"/>
    <w:rsid w:val="00662202"/>
    <w:rsid w:val="00662CA3"/>
    <w:rsid w:val="00662F60"/>
    <w:rsid w:val="006630AA"/>
    <w:rsid w:val="0066332D"/>
    <w:rsid w:val="00663E8F"/>
    <w:rsid w:val="00664779"/>
    <w:rsid w:val="0066484C"/>
    <w:rsid w:val="0066489F"/>
    <w:rsid w:val="0066620F"/>
    <w:rsid w:val="006662B3"/>
    <w:rsid w:val="0066646F"/>
    <w:rsid w:val="00666569"/>
    <w:rsid w:val="006670D0"/>
    <w:rsid w:val="00667DE5"/>
    <w:rsid w:val="00670C1C"/>
    <w:rsid w:val="00670DFA"/>
    <w:rsid w:val="006720AA"/>
    <w:rsid w:val="00672DFE"/>
    <w:rsid w:val="00673532"/>
    <w:rsid w:val="00674E20"/>
    <w:rsid w:val="00676996"/>
    <w:rsid w:val="0067777F"/>
    <w:rsid w:val="00677AC6"/>
    <w:rsid w:val="00677F8E"/>
    <w:rsid w:val="00681358"/>
    <w:rsid w:val="006834F5"/>
    <w:rsid w:val="00683B60"/>
    <w:rsid w:val="00683F95"/>
    <w:rsid w:val="006843E4"/>
    <w:rsid w:val="006849DB"/>
    <w:rsid w:val="0068592E"/>
    <w:rsid w:val="00685B92"/>
    <w:rsid w:val="00686193"/>
    <w:rsid w:val="0068672B"/>
    <w:rsid w:val="00686731"/>
    <w:rsid w:val="00686A3C"/>
    <w:rsid w:val="00690139"/>
    <w:rsid w:val="0069273E"/>
    <w:rsid w:val="006936D7"/>
    <w:rsid w:val="0069447A"/>
    <w:rsid w:val="006960B4"/>
    <w:rsid w:val="0069644B"/>
    <w:rsid w:val="00696B36"/>
    <w:rsid w:val="00696D7C"/>
    <w:rsid w:val="00697324"/>
    <w:rsid w:val="00697AF8"/>
    <w:rsid w:val="00697E01"/>
    <w:rsid w:val="006A0D83"/>
    <w:rsid w:val="006A19DE"/>
    <w:rsid w:val="006A222A"/>
    <w:rsid w:val="006A3C7F"/>
    <w:rsid w:val="006A413F"/>
    <w:rsid w:val="006A52DE"/>
    <w:rsid w:val="006A7430"/>
    <w:rsid w:val="006A7AE9"/>
    <w:rsid w:val="006A7E66"/>
    <w:rsid w:val="006B005D"/>
    <w:rsid w:val="006B1FC0"/>
    <w:rsid w:val="006B2AA4"/>
    <w:rsid w:val="006B2D52"/>
    <w:rsid w:val="006B3BE5"/>
    <w:rsid w:val="006B46DA"/>
    <w:rsid w:val="006B7112"/>
    <w:rsid w:val="006B79C2"/>
    <w:rsid w:val="006B7A79"/>
    <w:rsid w:val="006C09EE"/>
    <w:rsid w:val="006C2613"/>
    <w:rsid w:val="006C2645"/>
    <w:rsid w:val="006C46BB"/>
    <w:rsid w:val="006C5F22"/>
    <w:rsid w:val="006C6ED1"/>
    <w:rsid w:val="006C700A"/>
    <w:rsid w:val="006D1484"/>
    <w:rsid w:val="006D2859"/>
    <w:rsid w:val="006D3269"/>
    <w:rsid w:val="006D463C"/>
    <w:rsid w:val="006D4656"/>
    <w:rsid w:val="006D5A3F"/>
    <w:rsid w:val="006D5C12"/>
    <w:rsid w:val="006D637B"/>
    <w:rsid w:val="006D646A"/>
    <w:rsid w:val="006D6E29"/>
    <w:rsid w:val="006D7F2B"/>
    <w:rsid w:val="006E045F"/>
    <w:rsid w:val="006E0FFD"/>
    <w:rsid w:val="006E1B2B"/>
    <w:rsid w:val="006E1DCE"/>
    <w:rsid w:val="006E1F7F"/>
    <w:rsid w:val="006E2112"/>
    <w:rsid w:val="006E3E51"/>
    <w:rsid w:val="006E68E7"/>
    <w:rsid w:val="006E6B94"/>
    <w:rsid w:val="006E6EAD"/>
    <w:rsid w:val="006E6F24"/>
    <w:rsid w:val="006F1B0E"/>
    <w:rsid w:val="006F1BDF"/>
    <w:rsid w:val="006F37BC"/>
    <w:rsid w:val="006F46EB"/>
    <w:rsid w:val="006F4A5D"/>
    <w:rsid w:val="006F5D0D"/>
    <w:rsid w:val="006F66E7"/>
    <w:rsid w:val="00700126"/>
    <w:rsid w:val="007004D1"/>
    <w:rsid w:val="00700BC4"/>
    <w:rsid w:val="00701190"/>
    <w:rsid w:val="007017CD"/>
    <w:rsid w:val="00701B40"/>
    <w:rsid w:val="00701DE0"/>
    <w:rsid w:val="007037C8"/>
    <w:rsid w:val="00704A12"/>
    <w:rsid w:val="00705B74"/>
    <w:rsid w:val="00707261"/>
    <w:rsid w:val="00707EC6"/>
    <w:rsid w:val="00711627"/>
    <w:rsid w:val="00712629"/>
    <w:rsid w:val="00712CC1"/>
    <w:rsid w:val="00713162"/>
    <w:rsid w:val="00713725"/>
    <w:rsid w:val="00713A50"/>
    <w:rsid w:val="00714713"/>
    <w:rsid w:val="00720356"/>
    <w:rsid w:val="00720FBF"/>
    <w:rsid w:val="00721841"/>
    <w:rsid w:val="00722D6C"/>
    <w:rsid w:val="0072357F"/>
    <w:rsid w:val="0072399C"/>
    <w:rsid w:val="00723CC8"/>
    <w:rsid w:val="00723D58"/>
    <w:rsid w:val="007244F5"/>
    <w:rsid w:val="00724647"/>
    <w:rsid w:val="007248F0"/>
    <w:rsid w:val="0072628A"/>
    <w:rsid w:val="007264B1"/>
    <w:rsid w:val="007265E3"/>
    <w:rsid w:val="00726C1E"/>
    <w:rsid w:val="00727C50"/>
    <w:rsid w:val="007329BE"/>
    <w:rsid w:val="007341D7"/>
    <w:rsid w:val="007349A7"/>
    <w:rsid w:val="0073562B"/>
    <w:rsid w:val="00736322"/>
    <w:rsid w:val="007370B5"/>
    <w:rsid w:val="0073714D"/>
    <w:rsid w:val="00737BAA"/>
    <w:rsid w:val="007405DE"/>
    <w:rsid w:val="00740824"/>
    <w:rsid w:val="00740947"/>
    <w:rsid w:val="00741C86"/>
    <w:rsid w:val="007420BC"/>
    <w:rsid w:val="00742211"/>
    <w:rsid w:val="00742837"/>
    <w:rsid w:val="007432D0"/>
    <w:rsid w:val="00743A9F"/>
    <w:rsid w:val="00744A51"/>
    <w:rsid w:val="00745610"/>
    <w:rsid w:val="00745C0C"/>
    <w:rsid w:val="00746336"/>
    <w:rsid w:val="00746870"/>
    <w:rsid w:val="0074720F"/>
    <w:rsid w:val="007477B4"/>
    <w:rsid w:val="0075088F"/>
    <w:rsid w:val="00751015"/>
    <w:rsid w:val="007531E9"/>
    <w:rsid w:val="00753769"/>
    <w:rsid w:val="007544F0"/>
    <w:rsid w:val="007549E6"/>
    <w:rsid w:val="00755B8C"/>
    <w:rsid w:val="00756113"/>
    <w:rsid w:val="0075623B"/>
    <w:rsid w:val="00756508"/>
    <w:rsid w:val="00756738"/>
    <w:rsid w:val="0075704B"/>
    <w:rsid w:val="00757806"/>
    <w:rsid w:val="0075787F"/>
    <w:rsid w:val="0075789A"/>
    <w:rsid w:val="00757FFC"/>
    <w:rsid w:val="00760076"/>
    <w:rsid w:val="00761403"/>
    <w:rsid w:val="007615CE"/>
    <w:rsid w:val="00761981"/>
    <w:rsid w:val="007620BA"/>
    <w:rsid w:val="0076292F"/>
    <w:rsid w:val="00763465"/>
    <w:rsid w:val="00763B60"/>
    <w:rsid w:val="00763E49"/>
    <w:rsid w:val="00764BD3"/>
    <w:rsid w:val="00764D12"/>
    <w:rsid w:val="00765205"/>
    <w:rsid w:val="00765E41"/>
    <w:rsid w:val="00766958"/>
    <w:rsid w:val="007711D8"/>
    <w:rsid w:val="00771E74"/>
    <w:rsid w:val="00773069"/>
    <w:rsid w:val="00774019"/>
    <w:rsid w:val="0077474F"/>
    <w:rsid w:val="00775D86"/>
    <w:rsid w:val="00777056"/>
    <w:rsid w:val="00777217"/>
    <w:rsid w:val="007818B3"/>
    <w:rsid w:val="007828B6"/>
    <w:rsid w:val="00782BD4"/>
    <w:rsid w:val="00783949"/>
    <w:rsid w:val="007848E8"/>
    <w:rsid w:val="00787ED5"/>
    <w:rsid w:val="00790413"/>
    <w:rsid w:val="00790A7E"/>
    <w:rsid w:val="00790EE3"/>
    <w:rsid w:val="007910E0"/>
    <w:rsid w:val="00791119"/>
    <w:rsid w:val="0079205A"/>
    <w:rsid w:val="007932AF"/>
    <w:rsid w:val="00793911"/>
    <w:rsid w:val="00795358"/>
    <w:rsid w:val="00795C76"/>
    <w:rsid w:val="00796BB3"/>
    <w:rsid w:val="007979DF"/>
    <w:rsid w:val="00797A7A"/>
    <w:rsid w:val="007A0B64"/>
    <w:rsid w:val="007A1663"/>
    <w:rsid w:val="007A1F07"/>
    <w:rsid w:val="007A2CB4"/>
    <w:rsid w:val="007A2D57"/>
    <w:rsid w:val="007A3CCF"/>
    <w:rsid w:val="007A4946"/>
    <w:rsid w:val="007A4EC2"/>
    <w:rsid w:val="007A532E"/>
    <w:rsid w:val="007A5A16"/>
    <w:rsid w:val="007A5BDB"/>
    <w:rsid w:val="007A5F0E"/>
    <w:rsid w:val="007A6D0C"/>
    <w:rsid w:val="007B10F9"/>
    <w:rsid w:val="007B2369"/>
    <w:rsid w:val="007B42BA"/>
    <w:rsid w:val="007B4E59"/>
    <w:rsid w:val="007B667E"/>
    <w:rsid w:val="007B70AF"/>
    <w:rsid w:val="007C068B"/>
    <w:rsid w:val="007C0F0A"/>
    <w:rsid w:val="007C189B"/>
    <w:rsid w:val="007C260B"/>
    <w:rsid w:val="007C2D99"/>
    <w:rsid w:val="007C3B39"/>
    <w:rsid w:val="007C479C"/>
    <w:rsid w:val="007C4851"/>
    <w:rsid w:val="007C5643"/>
    <w:rsid w:val="007C5A31"/>
    <w:rsid w:val="007C5D45"/>
    <w:rsid w:val="007C62A6"/>
    <w:rsid w:val="007D063C"/>
    <w:rsid w:val="007D06CD"/>
    <w:rsid w:val="007D1564"/>
    <w:rsid w:val="007D2521"/>
    <w:rsid w:val="007D26F4"/>
    <w:rsid w:val="007D2710"/>
    <w:rsid w:val="007D31D1"/>
    <w:rsid w:val="007D33AC"/>
    <w:rsid w:val="007D4B8A"/>
    <w:rsid w:val="007D5641"/>
    <w:rsid w:val="007D5C00"/>
    <w:rsid w:val="007D6890"/>
    <w:rsid w:val="007D7507"/>
    <w:rsid w:val="007D7845"/>
    <w:rsid w:val="007E006E"/>
    <w:rsid w:val="007E00B9"/>
    <w:rsid w:val="007E0464"/>
    <w:rsid w:val="007E166F"/>
    <w:rsid w:val="007E23A5"/>
    <w:rsid w:val="007E24EF"/>
    <w:rsid w:val="007E27E5"/>
    <w:rsid w:val="007E37CD"/>
    <w:rsid w:val="007E440C"/>
    <w:rsid w:val="007E5AA5"/>
    <w:rsid w:val="007E7032"/>
    <w:rsid w:val="007E7EA1"/>
    <w:rsid w:val="007F0EA4"/>
    <w:rsid w:val="007F0EAD"/>
    <w:rsid w:val="007F19F3"/>
    <w:rsid w:val="007F2064"/>
    <w:rsid w:val="007F2B93"/>
    <w:rsid w:val="007F3A17"/>
    <w:rsid w:val="007F3D99"/>
    <w:rsid w:val="007F41F6"/>
    <w:rsid w:val="007F53C2"/>
    <w:rsid w:val="007F6186"/>
    <w:rsid w:val="007F7D23"/>
    <w:rsid w:val="008013CE"/>
    <w:rsid w:val="0080355A"/>
    <w:rsid w:val="008039BE"/>
    <w:rsid w:val="00805C96"/>
    <w:rsid w:val="008061EB"/>
    <w:rsid w:val="008067A1"/>
    <w:rsid w:val="00806A56"/>
    <w:rsid w:val="00807588"/>
    <w:rsid w:val="0080772E"/>
    <w:rsid w:val="008101B1"/>
    <w:rsid w:val="008107E7"/>
    <w:rsid w:val="00811538"/>
    <w:rsid w:val="00811CCE"/>
    <w:rsid w:val="00811DA3"/>
    <w:rsid w:val="00811ED6"/>
    <w:rsid w:val="008126B1"/>
    <w:rsid w:val="00812D95"/>
    <w:rsid w:val="00813BE8"/>
    <w:rsid w:val="00813C8D"/>
    <w:rsid w:val="00813F97"/>
    <w:rsid w:val="00813FC6"/>
    <w:rsid w:val="008152A5"/>
    <w:rsid w:val="0081746A"/>
    <w:rsid w:val="00817FC7"/>
    <w:rsid w:val="008202E3"/>
    <w:rsid w:val="00820759"/>
    <w:rsid w:val="00820B72"/>
    <w:rsid w:val="00820D40"/>
    <w:rsid w:val="00820DCA"/>
    <w:rsid w:val="008218B3"/>
    <w:rsid w:val="00822BC4"/>
    <w:rsid w:val="0082301B"/>
    <w:rsid w:val="008239C0"/>
    <w:rsid w:val="00824AC2"/>
    <w:rsid w:val="008256B4"/>
    <w:rsid w:val="0082613B"/>
    <w:rsid w:val="0082659C"/>
    <w:rsid w:val="00826D64"/>
    <w:rsid w:val="008270C8"/>
    <w:rsid w:val="00827BE7"/>
    <w:rsid w:val="008306A6"/>
    <w:rsid w:val="00830F22"/>
    <w:rsid w:val="00832840"/>
    <w:rsid w:val="00833564"/>
    <w:rsid w:val="008335EA"/>
    <w:rsid w:val="00833A13"/>
    <w:rsid w:val="00833F1B"/>
    <w:rsid w:val="00834F0E"/>
    <w:rsid w:val="00834FF6"/>
    <w:rsid w:val="00835551"/>
    <w:rsid w:val="00837AE0"/>
    <w:rsid w:val="00840057"/>
    <w:rsid w:val="00841E5D"/>
    <w:rsid w:val="008438E7"/>
    <w:rsid w:val="00843968"/>
    <w:rsid w:val="008456C8"/>
    <w:rsid w:val="00845DF7"/>
    <w:rsid w:val="008476B9"/>
    <w:rsid w:val="00847DF9"/>
    <w:rsid w:val="0085132B"/>
    <w:rsid w:val="00851DF6"/>
    <w:rsid w:val="00851F93"/>
    <w:rsid w:val="00852185"/>
    <w:rsid w:val="008531F7"/>
    <w:rsid w:val="00853580"/>
    <w:rsid w:val="00853A6B"/>
    <w:rsid w:val="00854177"/>
    <w:rsid w:val="008542F5"/>
    <w:rsid w:val="00854E6A"/>
    <w:rsid w:val="0085566F"/>
    <w:rsid w:val="00856A2E"/>
    <w:rsid w:val="00856B4B"/>
    <w:rsid w:val="00856CD1"/>
    <w:rsid w:val="008571EF"/>
    <w:rsid w:val="0085747B"/>
    <w:rsid w:val="00857B33"/>
    <w:rsid w:val="00860302"/>
    <w:rsid w:val="00861041"/>
    <w:rsid w:val="00861103"/>
    <w:rsid w:val="00861C26"/>
    <w:rsid w:val="0086265E"/>
    <w:rsid w:val="008630FD"/>
    <w:rsid w:val="00863FB1"/>
    <w:rsid w:val="00864BD4"/>
    <w:rsid w:val="008654CE"/>
    <w:rsid w:val="0086556E"/>
    <w:rsid w:val="008668D5"/>
    <w:rsid w:val="00866DB4"/>
    <w:rsid w:val="00871DE1"/>
    <w:rsid w:val="00872C75"/>
    <w:rsid w:val="00874D7C"/>
    <w:rsid w:val="00876D49"/>
    <w:rsid w:val="0087741A"/>
    <w:rsid w:val="00881997"/>
    <w:rsid w:val="0088254C"/>
    <w:rsid w:val="008826DA"/>
    <w:rsid w:val="00883159"/>
    <w:rsid w:val="008836FA"/>
    <w:rsid w:val="00883933"/>
    <w:rsid w:val="008845DE"/>
    <w:rsid w:val="008846D7"/>
    <w:rsid w:val="00885300"/>
    <w:rsid w:val="00886F9B"/>
    <w:rsid w:val="008870D9"/>
    <w:rsid w:val="00890A2E"/>
    <w:rsid w:val="00891CC1"/>
    <w:rsid w:val="008927F2"/>
    <w:rsid w:val="00892D5B"/>
    <w:rsid w:val="008932AE"/>
    <w:rsid w:val="008936DB"/>
    <w:rsid w:val="00893E22"/>
    <w:rsid w:val="00895423"/>
    <w:rsid w:val="0089682B"/>
    <w:rsid w:val="00897060"/>
    <w:rsid w:val="0089726C"/>
    <w:rsid w:val="008972D5"/>
    <w:rsid w:val="00897715"/>
    <w:rsid w:val="00897AD3"/>
    <w:rsid w:val="008A1288"/>
    <w:rsid w:val="008A12B9"/>
    <w:rsid w:val="008A18A5"/>
    <w:rsid w:val="008A1979"/>
    <w:rsid w:val="008A1AB3"/>
    <w:rsid w:val="008A2725"/>
    <w:rsid w:val="008A3E8A"/>
    <w:rsid w:val="008A453E"/>
    <w:rsid w:val="008A4897"/>
    <w:rsid w:val="008A54AA"/>
    <w:rsid w:val="008A56BA"/>
    <w:rsid w:val="008A5C23"/>
    <w:rsid w:val="008A5EE9"/>
    <w:rsid w:val="008A64DA"/>
    <w:rsid w:val="008A67B6"/>
    <w:rsid w:val="008A69E4"/>
    <w:rsid w:val="008A6AFC"/>
    <w:rsid w:val="008A7C3E"/>
    <w:rsid w:val="008B2567"/>
    <w:rsid w:val="008B27FF"/>
    <w:rsid w:val="008B31EC"/>
    <w:rsid w:val="008B6445"/>
    <w:rsid w:val="008B6767"/>
    <w:rsid w:val="008B7E1C"/>
    <w:rsid w:val="008C158E"/>
    <w:rsid w:val="008C1968"/>
    <w:rsid w:val="008C19FC"/>
    <w:rsid w:val="008C49B4"/>
    <w:rsid w:val="008C56CE"/>
    <w:rsid w:val="008C6314"/>
    <w:rsid w:val="008C7049"/>
    <w:rsid w:val="008C7898"/>
    <w:rsid w:val="008C7E97"/>
    <w:rsid w:val="008D0E4B"/>
    <w:rsid w:val="008D3731"/>
    <w:rsid w:val="008D441B"/>
    <w:rsid w:val="008D494B"/>
    <w:rsid w:val="008D619C"/>
    <w:rsid w:val="008D67AF"/>
    <w:rsid w:val="008D6AA6"/>
    <w:rsid w:val="008D7057"/>
    <w:rsid w:val="008D7D09"/>
    <w:rsid w:val="008D7D42"/>
    <w:rsid w:val="008E0727"/>
    <w:rsid w:val="008E2DEC"/>
    <w:rsid w:val="008E2EC0"/>
    <w:rsid w:val="008E4FDA"/>
    <w:rsid w:val="008E584B"/>
    <w:rsid w:val="008E5DA7"/>
    <w:rsid w:val="008E6FE9"/>
    <w:rsid w:val="008E7C38"/>
    <w:rsid w:val="008E7F9B"/>
    <w:rsid w:val="008F16DD"/>
    <w:rsid w:val="008F1C05"/>
    <w:rsid w:val="008F1ED3"/>
    <w:rsid w:val="008F2098"/>
    <w:rsid w:val="008F24C1"/>
    <w:rsid w:val="008F3A50"/>
    <w:rsid w:val="008F3B33"/>
    <w:rsid w:val="008F476C"/>
    <w:rsid w:val="008F53D4"/>
    <w:rsid w:val="008F6593"/>
    <w:rsid w:val="008F69BA"/>
    <w:rsid w:val="008F6FD5"/>
    <w:rsid w:val="008F779B"/>
    <w:rsid w:val="008F7A64"/>
    <w:rsid w:val="008F7C49"/>
    <w:rsid w:val="0090007F"/>
    <w:rsid w:val="0090032E"/>
    <w:rsid w:val="009007A9"/>
    <w:rsid w:val="00901047"/>
    <w:rsid w:val="009025C6"/>
    <w:rsid w:val="00902B08"/>
    <w:rsid w:val="00902B3A"/>
    <w:rsid w:val="0090382B"/>
    <w:rsid w:val="0090516D"/>
    <w:rsid w:val="00905567"/>
    <w:rsid w:val="00906525"/>
    <w:rsid w:val="00910E77"/>
    <w:rsid w:val="009126EF"/>
    <w:rsid w:val="00912A13"/>
    <w:rsid w:val="00912DFD"/>
    <w:rsid w:val="0091371E"/>
    <w:rsid w:val="00913A6C"/>
    <w:rsid w:val="00914140"/>
    <w:rsid w:val="009142D3"/>
    <w:rsid w:val="00914B38"/>
    <w:rsid w:val="009163BD"/>
    <w:rsid w:val="00916865"/>
    <w:rsid w:val="00917371"/>
    <w:rsid w:val="00920F88"/>
    <w:rsid w:val="00921B63"/>
    <w:rsid w:val="00923216"/>
    <w:rsid w:val="0092338C"/>
    <w:rsid w:val="00923AF0"/>
    <w:rsid w:val="00924EF9"/>
    <w:rsid w:val="0092578F"/>
    <w:rsid w:val="00925ED5"/>
    <w:rsid w:val="0092631F"/>
    <w:rsid w:val="009268EC"/>
    <w:rsid w:val="009270C2"/>
    <w:rsid w:val="0092734A"/>
    <w:rsid w:val="00927905"/>
    <w:rsid w:val="00930390"/>
    <w:rsid w:val="009327BE"/>
    <w:rsid w:val="00934030"/>
    <w:rsid w:val="00934376"/>
    <w:rsid w:val="00934CBC"/>
    <w:rsid w:val="009353FE"/>
    <w:rsid w:val="0093602C"/>
    <w:rsid w:val="009367B0"/>
    <w:rsid w:val="009371DA"/>
    <w:rsid w:val="0093758D"/>
    <w:rsid w:val="00944AAA"/>
    <w:rsid w:val="00946514"/>
    <w:rsid w:val="00946831"/>
    <w:rsid w:val="00946E07"/>
    <w:rsid w:val="00951346"/>
    <w:rsid w:val="009521CD"/>
    <w:rsid w:val="00952B71"/>
    <w:rsid w:val="00953B65"/>
    <w:rsid w:val="009565E1"/>
    <w:rsid w:val="00961F53"/>
    <w:rsid w:val="009628E1"/>
    <w:rsid w:val="00963EB3"/>
    <w:rsid w:val="00964460"/>
    <w:rsid w:val="009646C6"/>
    <w:rsid w:val="009648A3"/>
    <w:rsid w:val="009649FF"/>
    <w:rsid w:val="00965F59"/>
    <w:rsid w:val="00966031"/>
    <w:rsid w:val="00966555"/>
    <w:rsid w:val="00966EF8"/>
    <w:rsid w:val="00967251"/>
    <w:rsid w:val="00967C9E"/>
    <w:rsid w:val="00967E25"/>
    <w:rsid w:val="00970943"/>
    <w:rsid w:val="009718D3"/>
    <w:rsid w:val="00972153"/>
    <w:rsid w:val="00975224"/>
    <w:rsid w:val="00976C22"/>
    <w:rsid w:val="009775A3"/>
    <w:rsid w:val="00977764"/>
    <w:rsid w:val="009779E3"/>
    <w:rsid w:val="00977C73"/>
    <w:rsid w:val="009803C5"/>
    <w:rsid w:val="00980547"/>
    <w:rsid w:val="00980E96"/>
    <w:rsid w:val="00980FB4"/>
    <w:rsid w:val="00981BCC"/>
    <w:rsid w:val="00982512"/>
    <w:rsid w:val="00983ADC"/>
    <w:rsid w:val="009846DA"/>
    <w:rsid w:val="00985D39"/>
    <w:rsid w:val="009869F2"/>
    <w:rsid w:val="00987B18"/>
    <w:rsid w:val="009917A3"/>
    <w:rsid w:val="0099248F"/>
    <w:rsid w:val="00993621"/>
    <w:rsid w:val="00993D43"/>
    <w:rsid w:val="00993D78"/>
    <w:rsid w:val="00994F1D"/>
    <w:rsid w:val="009954D6"/>
    <w:rsid w:val="00995A57"/>
    <w:rsid w:val="00996098"/>
    <w:rsid w:val="00997A65"/>
    <w:rsid w:val="00997D91"/>
    <w:rsid w:val="009A0178"/>
    <w:rsid w:val="009A07E3"/>
    <w:rsid w:val="009A0DC2"/>
    <w:rsid w:val="009A3FCC"/>
    <w:rsid w:val="009A454B"/>
    <w:rsid w:val="009A486E"/>
    <w:rsid w:val="009A4992"/>
    <w:rsid w:val="009A4FEB"/>
    <w:rsid w:val="009A5723"/>
    <w:rsid w:val="009A5959"/>
    <w:rsid w:val="009A7F69"/>
    <w:rsid w:val="009B03F9"/>
    <w:rsid w:val="009B071F"/>
    <w:rsid w:val="009B3A02"/>
    <w:rsid w:val="009B4074"/>
    <w:rsid w:val="009B40B1"/>
    <w:rsid w:val="009B4A18"/>
    <w:rsid w:val="009B4B3F"/>
    <w:rsid w:val="009B4EDE"/>
    <w:rsid w:val="009B5539"/>
    <w:rsid w:val="009B5B0E"/>
    <w:rsid w:val="009B6D7C"/>
    <w:rsid w:val="009B71E7"/>
    <w:rsid w:val="009B73B8"/>
    <w:rsid w:val="009C1625"/>
    <w:rsid w:val="009C1E63"/>
    <w:rsid w:val="009C22FA"/>
    <w:rsid w:val="009C2A2D"/>
    <w:rsid w:val="009C315A"/>
    <w:rsid w:val="009C3E2A"/>
    <w:rsid w:val="009C4501"/>
    <w:rsid w:val="009C5018"/>
    <w:rsid w:val="009C531E"/>
    <w:rsid w:val="009C575E"/>
    <w:rsid w:val="009C5AF2"/>
    <w:rsid w:val="009C65B7"/>
    <w:rsid w:val="009C6C23"/>
    <w:rsid w:val="009C772B"/>
    <w:rsid w:val="009D0DDF"/>
    <w:rsid w:val="009D13D3"/>
    <w:rsid w:val="009D1655"/>
    <w:rsid w:val="009D1A6D"/>
    <w:rsid w:val="009D1ABD"/>
    <w:rsid w:val="009D3210"/>
    <w:rsid w:val="009D4080"/>
    <w:rsid w:val="009D43E3"/>
    <w:rsid w:val="009D6BB5"/>
    <w:rsid w:val="009E0890"/>
    <w:rsid w:val="009E090A"/>
    <w:rsid w:val="009E0A8C"/>
    <w:rsid w:val="009E1BE5"/>
    <w:rsid w:val="009E1CDC"/>
    <w:rsid w:val="009E26CF"/>
    <w:rsid w:val="009E30D6"/>
    <w:rsid w:val="009E479E"/>
    <w:rsid w:val="009E62DD"/>
    <w:rsid w:val="009F22E0"/>
    <w:rsid w:val="009F26DF"/>
    <w:rsid w:val="009F4068"/>
    <w:rsid w:val="009F4DF6"/>
    <w:rsid w:val="009F7658"/>
    <w:rsid w:val="00A004A5"/>
    <w:rsid w:val="00A00C9D"/>
    <w:rsid w:val="00A00ED4"/>
    <w:rsid w:val="00A01712"/>
    <w:rsid w:val="00A025AE"/>
    <w:rsid w:val="00A04487"/>
    <w:rsid w:val="00A04885"/>
    <w:rsid w:val="00A05814"/>
    <w:rsid w:val="00A05B82"/>
    <w:rsid w:val="00A05E0C"/>
    <w:rsid w:val="00A06AEB"/>
    <w:rsid w:val="00A06D3F"/>
    <w:rsid w:val="00A06FF3"/>
    <w:rsid w:val="00A07375"/>
    <w:rsid w:val="00A0795E"/>
    <w:rsid w:val="00A11674"/>
    <w:rsid w:val="00A11698"/>
    <w:rsid w:val="00A116E5"/>
    <w:rsid w:val="00A11EF9"/>
    <w:rsid w:val="00A12614"/>
    <w:rsid w:val="00A12A2E"/>
    <w:rsid w:val="00A1307F"/>
    <w:rsid w:val="00A13882"/>
    <w:rsid w:val="00A147DB"/>
    <w:rsid w:val="00A16AD2"/>
    <w:rsid w:val="00A16D2A"/>
    <w:rsid w:val="00A17E84"/>
    <w:rsid w:val="00A17EC0"/>
    <w:rsid w:val="00A21566"/>
    <w:rsid w:val="00A216AA"/>
    <w:rsid w:val="00A21EAA"/>
    <w:rsid w:val="00A22AF9"/>
    <w:rsid w:val="00A23989"/>
    <w:rsid w:val="00A24D6F"/>
    <w:rsid w:val="00A253BC"/>
    <w:rsid w:val="00A2548F"/>
    <w:rsid w:val="00A262EA"/>
    <w:rsid w:val="00A26A4F"/>
    <w:rsid w:val="00A27C55"/>
    <w:rsid w:val="00A30750"/>
    <w:rsid w:val="00A31A15"/>
    <w:rsid w:val="00A34127"/>
    <w:rsid w:val="00A349E4"/>
    <w:rsid w:val="00A368DD"/>
    <w:rsid w:val="00A36C4E"/>
    <w:rsid w:val="00A3725F"/>
    <w:rsid w:val="00A37A30"/>
    <w:rsid w:val="00A37A9F"/>
    <w:rsid w:val="00A37DFA"/>
    <w:rsid w:val="00A37EEA"/>
    <w:rsid w:val="00A40675"/>
    <w:rsid w:val="00A40B60"/>
    <w:rsid w:val="00A41D13"/>
    <w:rsid w:val="00A41D1A"/>
    <w:rsid w:val="00A424BD"/>
    <w:rsid w:val="00A4273D"/>
    <w:rsid w:val="00A43BE5"/>
    <w:rsid w:val="00A43F14"/>
    <w:rsid w:val="00A44897"/>
    <w:rsid w:val="00A44D56"/>
    <w:rsid w:val="00A4594A"/>
    <w:rsid w:val="00A45F65"/>
    <w:rsid w:val="00A4730A"/>
    <w:rsid w:val="00A5060E"/>
    <w:rsid w:val="00A5073C"/>
    <w:rsid w:val="00A51692"/>
    <w:rsid w:val="00A52B12"/>
    <w:rsid w:val="00A52C03"/>
    <w:rsid w:val="00A53069"/>
    <w:rsid w:val="00A53940"/>
    <w:rsid w:val="00A56FAB"/>
    <w:rsid w:val="00A57AF8"/>
    <w:rsid w:val="00A6105E"/>
    <w:rsid w:val="00A621FB"/>
    <w:rsid w:val="00A625D1"/>
    <w:rsid w:val="00A64E26"/>
    <w:rsid w:val="00A65109"/>
    <w:rsid w:val="00A668DB"/>
    <w:rsid w:val="00A676FD"/>
    <w:rsid w:val="00A71474"/>
    <w:rsid w:val="00A72630"/>
    <w:rsid w:val="00A72D8D"/>
    <w:rsid w:val="00A72FC3"/>
    <w:rsid w:val="00A74402"/>
    <w:rsid w:val="00A74952"/>
    <w:rsid w:val="00A74B5F"/>
    <w:rsid w:val="00A75269"/>
    <w:rsid w:val="00A753DC"/>
    <w:rsid w:val="00A756E4"/>
    <w:rsid w:val="00A75991"/>
    <w:rsid w:val="00A80BC6"/>
    <w:rsid w:val="00A80CEA"/>
    <w:rsid w:val="00A81635"/>
    <w:rsid w:val="00A829CB"/>
    <w:rsid w:val="00A82BD5"/>
    <w:rsid w:val="00A82DC5"/>
    <w:rsid w:val="00A83022"/>
    <w:rsid w:val="00A83429"/>
    <w:rsid w:val="00A838EA"/>
    <w:rsid w:val="00A83DB0"/>
    <w:rsid w:val="00A8461E"/>
    <w:rsid w:val="00A85F62"/>
    <w:rsid w:val="00A8604B"/>
    <w:rsid w:val="00A86D4C"/>
    <w:rsid w:val="00A905DF"/>
    <w:rsid w:val="00A90CEB"/>
    <w:rsid w:val="00A90E1A"/>
    <w:rsid w:val="00A91EB3"/>
    <w:rsid w:val="00A92030"/>
    <w:rsid w:val="00A9497D"/>
    <w:rsid w:val="00A9542F"/>
    <w:rsid w:val="00A97EA6"/>
    <w:rsid w:val="00A97FE4"/>
    <w:rsid w:val="00AA0656"/>
    <w:rsid w:val="00AA1E4F"/>
    <w:rsid w:val="00AA29B8"/>
    <w:rsid w:val="00AA3069"/>
    <w:rsid w:val="00AA3B7E"/>
    <w:rsid w:val="00AA5E0E"/>
    <w:rsid w:val="00AA5FDF"/>
    <w:rsid w:val="00AA7DD4"/>
    <w:rsid w:val="00AB012A"/>
    <w:rsid w:val="00AB05CB"/>
    <w:rsid w:val="00AB22EB"/>
    <w:rsid w:val="00AB2ECB"/>
    <w:rsid w:val="00AB36DC"/>
    <w:rsid w:val="00AB5FC6"/>
    <w:rsid w:val="00AC08DC"/>
    <w:rsid w:val="00AC1454"/>
    <w:rsid w:val="00AC1FB9"/>
    <w:rsid w:val="00AC21DE"/>
    <w:rsid w:val="00AC2276"/>
    <w:rsid w:val="00AC2614"/>
    <w:rsid w:val="00AC2A6B"/>
    <w:rsid w:val="00AC4DB3"/>
    <w:rsid w:val="00AC51BA"/>
    <w:rsid w:val="00AC584D"/>
    <w:rsid w:val="00AC779C"/>
    <w:rsid w:val="00AC7AA9"/>
    <w:rsid w:val="00AC7DD4"/>
    <w:rsid w:val="00AD02C0"/>
    <w:rsid w:val="00AD19EA"/>
    <w:rsid w:val="00AD2140"/>
    <w:rsid w:val="00AD2EF3"/>
    <w:rsid w:val="00AD3B17"/>
    <w:rsid w:val="00AD42A2"/>
    <w:rsid w:val="00AD5E83"/>
    <w:rsid w:val="00AD6862"/>
    <w:rsid w:val="00AD6B7A"/>
    <w:rsid w:val="00AD70AB"/>
    <w:rsid w:val="00AD73BC"/>
    <w:rsid w:val="00AD7BF7"/>
    <w:rsid w:val="00AE015C"/>
    <w:rsid w:val="00AE2372"/>
    <w:rsid w:val="00AE24CE"/>
    <w:rsid w:val="00AE2566"/>
    <w:rsid w:val="00AE2655"/>
    <w:rsid w:val="00AE2FFA"/>
    <w:rsid w:val="00AE44E8"/>
    <w:rsid w:val="00AE526E"/>
    <w:rsid w:val="00AE56C2"/>
    <w:rsid w:val="00AE575F"/>
    <w:rsid w:val="00AE7750"/>
    <w:rsid w:val="00AF0310"/>
    <w:rsid w:val="00AF06BB"/>
    <w:rsid w:val="00AF1072"/>
    <w:rsid w:val="00AF1074"/>
    <w:rsid w:val="00AF1C11"/>
    <w:rsid w:val="00AF2BD6"/>
    <w:rsid w:val="00AF3A22"/>
    <w:rsid w:val="00AF3EDB"/>
    <w:rsid w:val="00AF5ED4"/>
    <w:rsid w:val="00AF6108"/>
    <w:rsid w:val="00AF69D7"/>
    <w:rsid w:val="00AF6FF2"/>
    <w:rsid w:val="00AF77A7"/>
    <w:rsid w:val="00AF7CFD"/>
    <w:rsid w:val="00AF7E8E"/>
    <w:rsid w:val="00B002A2"/>
    <w:rsid w:val="00B006F1"/>
    <w:rsid w:val="00B00929"/>
    <w:rsid w:val="00B00BF1"/>
    <w:rsid w:val="00B015A9"/>
    <w:rsid w:val="00B019B5"/>
    <w:rsid w:val="00B01B97"/>
    <w:rsid w:val="00B01D60"/>
    <w:rsid w:val="00B01DEC"/>
    <w:rsid w:val="00B02BC5"/>
    <w:rsid w:val="00B03197"/>
    <w:rsid w:val="00B04564"/>
    <w:rsid w:val="00B049E8"/>
    <w:rsid w:val="00B04A6E"/>
    <w:rsid w:val="00B04D94"/>
    <w:rsid w:val="00B055EC"/>
    <w:rsid w:val="00B059BE"/>
    <w:rsid w:val="00B062CB"/>
    <w:rsid w:val="00B06C13"/>
    <w:rsid w:val="00B0719A"/>
    <w:rsid w:val="00B0728F"/>
    <w:rsid w:val="00B07523"/>
    <w:rsid w:val="00B11AC5"/>
    <w:rsid w:val="00B1292D"/>
    <w:rsid w:val="00B14949"/>
    <w:rsid w:val="00B158D1"/>
    <w:rsid w:val="00B15AF1"/>
    <w:rsid w:val="00B17439"/>
    <w:rsid w:val="00B17615"/>
    <w:rsid w:val="00B21BA9"/>
    <w:rsid w:val="00B21E26"/>
    <w:rsid w:val="00B26612"/>
    <w:rsid w:val="00B3003E"/>
    <w:rsid w:val="00B305ED"/>
    <w:rsid w:val="00B32517"/>
    <w:rsid w:val="00B34D8F"/>
    <w:rsid w:val="00B34DF0"/>
    <w:rsid w:val="00B34F02"/>
    <w:rsid w:val="00B36115"/>
    <w:rsid w:val="00B36217"/>
    <w:rsid w:val="00B374FA"/>
    <w:rsid w:val="00B379B7"/>
    <w:rsid w:val="00B37E28"/>
    <w:rsid w:val="00B37FC1"/>
    <w:rsid w:val="00B40CF5"/>
    <w:rsid w:val="00B412C5"/>
    <w:rsid w:val="00B41A1F"/>
    <w:rsid w:val="00B42499"/>
    <w:rsid w:val="00B435F9"/>
    <w:rsid w:val="00B453C4"/>
    <w:rsid w:val="00B458BF"/>
    <w:rsid w:val="00B45FF3"/>
    <w:rsid w:val="00B4675A"/>
    <w:rsid w:val="00B467C9"/>
    <w:rsid w:val="00B46A38"/>
    <w:rsid w:val="00B46EF2"/>
    <w:rsid w:val="00B47878"/>
    <w:rsid w:val="00B50FAF"/>
    <w:rsid w:val="00B518A2"/>
    <w:rsid w:val="00B5287D"/>
    <w:rsid w:val="00B528B1"/>
    <w:rsid w:val="00B52CC9"/>
    <w:rsid w:val="00B53F00"/>
    <w:rsid w:val="00B545C9"/>
    <w:rsid w:val="00B56A50"/>
    <w:rsid w:val="00B56F29"/>
    <w:rsid w:val="00B604E1"/>
    <w:rsid w:val="00B605A4"/>
    <w:rsid w:val="00B6148D"/>
    <w:rsid w:val="00B61F1E"/>
    <w:rsid w:val="00B63B11"/>
    <w:rsid w:val="00B64339"/>
    <w:rsid w:val="00B645EF"/>
    <w:rsid w:val="00B64A85"/>
    <w:rsid w:val="00B64BB3"/>
    <w:rsid w:val="00B65081"/>
    <w:rsid w:val="00B65898"/>
    <w:rsid w:val="00B6630A"/>
    <w:rsid w:val="00B66930"/>
    <w:rsid w:val="00B66C93"/>
    <w:rsid w:val="00B673CE"/>
    <w:rsid w:val="00B6762B"/>
    <w:rsid w:val="00B70CCE"/>
    <w:rsid w:val="00B71A7E"/>
    <w:rsid w:val="00B71D01"/>
    <w:rsid w:val="00B722C5"/>
    <w:rsid w:val="00B7253B"/>
    <w:rsid w:val="00B729B3"/>
    <w:rsid w:val="00B740E8"/>
    <w:rsid w:val="00B76669"/>
    <w:rsid w:val="00B77ED5"/>
    <w:rsid w:val="00B77F48"/>
    <w:rsid w:val="00B80034"/>
    <w:rsid w:val="00B8136B"/>
    <w:rsid w:val="00B81AB8"/>
    <w:rsid w:val="00B81F1F"/>
    <w:rsid w:val="00B8356F"/>
    <w:rsid w:val="00B84751"/>
    <w:rsid w:val="00B85498"/>
    <w:rsid w:val="00B85945"/>
    <w:rsid w:val="00B90662"/>
    <w:rsid w:val="00B90665"/>
    <w:rsid w:val="00B90AA2"/>
    <w:rsid w:val="00B91FA5"/>
    <w:rsid w:val="00B94C66"/>
    <w:rsid w:val="00B96062"/>
    <w:rsid w:val="00B960CA"/>
    <w:rsid w:val="00B967DB"/>
    <w:rsid w:val="00B96F7A"/>
    <w:rsid w:val="00BA0359"/>
    <w:rsid w:val="00BA0E78"/>
    <w:rsid w:val="00BA10BD"/>
    <w:rsid w:val="00BA1EE7"/>
    <w:rsid w:val="00BA220B"/>
    <w:rsid w:val="00BA344B"/>
    <w:rsid w:val="00BA3793"/>
    <w:rsid w:val="00BA4289"/>
    <w:rsid w:val="00BA4587"/>
    <w:rsid w:val="00BA59DE"/>
    <w:rsid w:val="00BA79A9"/>
    <w:rsid w:val="00BB0245"/>
    <w:rsid w:val="00BB1796"/>
    <w:rsid w:val="00BB1F85"/>
    <w:rsid w:val="00BB275E"/>
    <w:rsid w:val="00BB2986"/>
    <w:rsid w:val="00BB321A"/>
    <w:rsid w:val="00BB536C"/>
    <w:rsid w:val="00BB5F02"/>
    <w:rsid w:val="00BB62B4"/>
    <w:rsid w:val="00BC0793"/>
    <w:rsid w:val="00BC161F"/>
    <w:rsid w:val="00BC48CD"/>
    <w:rsid w:val="00BC50E5"/>
    <w:rsid w:val="00BC5F65"/>
    <w:rsid w:val="00BC6BEB"/>
    <w:rsid w:val="00BC6F19"/>
    <w:rsid w:val="00BC7063"/>
    <w:rsid w:val="00BC72CC"/>
    <w:rsid w:val="00BD03A4"/>
    <w:rsid w:val="00BD07E6"/>
    <w:rsid w:val="00BD09DC"/>
    <w:rsid w:val="00BD0D96"/>
    <w:rsid w:val="00BD1418"/>
    <w:rsid w:val="00BD1550"/>
    <w:rsid w:val="00BD170C"/>
    <w:rsid w:val="00BD1D78"/>
    <w:rsid w:val="00BD2989"/>
    <w:rsid w:val="00BD2E00"/>
    <w:rsid w:val="00BD4272"/>
    <w:rsid w:val="00BD462E"/>
    <w:rsid w:val="00BD580D"/>
    <w:rsid w:val="00BD65C4"/>
    <w:rsid w:val="00BD6B17"/>
    <w:rsid w:val="00BD7319"/>
    <w:rsid w:val="00BD79A8"/>
    <w:rsid w:val="00BD7B70"/>
    <w:rsid w:val="00BD7F0E"/>
    <w:rsid w:val="00BE0958"/>
    <w:rsid w:val="00BE0A2F"/>
    <w:rsid w:val="00BE22F3"/>
    <w:rsid w:val="00BE2674"/>
    <w:rsid w:val="00BE343D"/>
    <w:rsid w:val="00BE4A54"/>
    <w:rsid w:val="00BE4ED6"/>
    <w:rsid w:val="00BE594C"/>
    <w:rsid w:val="00BE5D5E"/>
    <w:rsid w:val="00BE66CD"/>
    <w:rsid w:val="00BE6705"/>
    <w:rsid w:val="00BE69F7"/>
    <w:rsid w:val="00BE6D5B"/>
    <w:rsid w:val="00BE7451"/>
    <w:rsid w:val="00BE7633"/>
    <w:rsid w:val="00BE79DB"/>
    <w:rsid w:val="00BE7A83"/>
    <w:rsid w:val="00BF1563"/>
    <w:rsid w:val="00BF1C94"/>
    <w:rsid w:val="00BF3C21"/>
    <w:rsid w:val="00BF4CFE"/>
    <w:rsid w:val="00BF54D3"/>
    <w:rsid w:val="00BF68DC"/>
    <w:rsid w:val="00BF6EBC"/>
    <w:rsid w:val="00BF71FF"/>
    <w:rsid w:val="00C00498"/>
    <w:rsid w:val="00C0152E"/>
    <w:rsid w:val="00C02DF2"/>
    <w:rsid w:val="00C03A0D"/>
    <w:rsid w:val="00C04AF3"/>
    <w:rsid w:val="00C0564F"/>
    <w:rsid w:val="00C06C6C"/>
    <w:rsid w:val="00C071E7"/>
    <w:rsid w:val="00C1086B"/>
    <w:rsid w:val="00C10BA8"/>
    <w:rsid w:val="00C11699"/>
    <w:rsid w:val="00C11E04"/>
    <w:rsid w:val="00C11E2C"/>
    <w:rsid w:val="00C133C2"/>
    <w:rsid w:val="00C13B78"/>
    <w:rsid w:val="00C14F06"/>
    <w:rsid w:val="00C17566"/>
    <w:rsid w:val="00C17D24"/>
    <w:rsid w:val="00C17E72"/>
    <w:rsid w:val="00C21CB1"/>
    <w:rsid w:val="00C22617"/>
    <w:rsid w:val="00C22B85"/>
    <w:rsid w:val="00C23E46"/>
    <w:rsid w:val="00C25035"/>
    <w:rsid w:val="00C2679C"/>
    <w:rsid w:val="00C26FD5"/>
    <w:rsid w:val="00C27F08"/>
    <w:rsid w:val="00C30743"/>
    <w:rsid w:val="00C30838"/>
    <w:rsid w:val="00C309FB"/>
    <w:rsid w:val="00C311E3"/>
    <w:rsid w:val="00C31ECF"/>
    <w:rsid w:val="00C32181"/>
    <w:rsid w:val="00C32ABD"/>
    <w:rsid w:val="00C32BDD"/>
    <w:rsid w:val="00C32ED0"/>
    <w:rsid w:val="00C3336D"/>
    <w:rsid w:val="00C33A87"/>
    <w:rsid w:val="00C34268"/>
    <w:rsid w:val="00C345F5"/>
    <w:rsid w:val="00C35584"/>
    <w:rsid w:val="00C35A8B"/>
    <w:rsid w:val="00C41227"/>
    <w:rsid w:val="00C414B7"/>
    <w:rsid w:val="00C4153B"/>
    <w:rsid w:val="00C41995"/>
    <w:rsid w:val="00C426D0"/>
    <w:rsid w:val="00C42E0F"/>
    <w:rsid w:val="00C42E17"/>
    <w:rsid w:val="00C43AD5"/>
    <w:rsid w:val="00C4504E"/>
    <w:rsid w:val="00C4592B"/>
    <w:rsid w:val="00C45D4B"/>
    <w:rsid w:val="00C45DF8"/>
    <w:rsid w:val="00C464C0"/>
    <w:rsid w:val="00C5032A"/>
    <w:rsid w:val="00C50B28"/>
    <w:rsid w:val="00C51B0E"/>
    <w:rsid w:val="00C53817"/>
    <w:rsid w:val="00C54B02"/>
    <w:rsid w:val="00C55283"/>
    <w:rsid w:val="00C554BF"/>
    <w:rsid w:val="00C55D60"/>
    <w:rsid w:val="00C55EF0"/>
    <w:rsid w:val="00C5681F"/>
    <w:rsid w:val="00C6048C"/>
    <w:rsid w:val="00C62076"/>
    <w:rsid w:val="00C622F1"/>
    <w:rsid w:val="00C623F1"/>
    <w:rsid w:val="00C629AC"/>
    <w:rsid w:val="00C640A6"/>
    <w:rsid w:val="00C646CB"/>
    <w:rsid w:val="00C64986"/>
    <w:rsid w:val="00C6520E"/>
    <w:rsid w:val="00C655D9"/>
    <w:rsid w:val="00C67E89"/>
    <w:rsid w:val="00C707B5"/>
    <w:rsid w:val="00C708D6"/>
    <w:rsid w:val="00C74164"/>
    <w:rsid w:val="00C7417F"/>
    <w:rsid w:val="00C74342"/>
    <w:rsid w:val="00C74E50"/>
    <w:rsid w:val="00C76602"/>
    <w:rsid w:val="00C76CBD"/>
    <w:rsid w:val="00C813A2"/>
    <w:rsid w:val="00C8218D"/>
    <w:rsid w:val="00C825A7"/>
    <w:rsid w:val="00C82996"/>
    <w:rsid w:val="00C83A6C"/>
    <w:rsid w:val="00C85428"/>
    <w:rsid w:val="00C85926"/>
    <w:rsid w:val="00C8656A"/>
    <w:rsid w:val="00C867D3"/>
    <w:rsid w:val="00C86B3A"/>
    <w:rsid w:val="00C87A93"/>
    <w:rsid w:val="00C91217"/>
    <w:rsid w:val="00C923B4"/>
    <w:rsid w:val="00C9271D"/>
    <w:rsid w:val="00C9308A"/>
    <w:rsid w:val="00C94A50"/>
    <w:rsid w:val="00C94EB7"/>
    <w:rsid w:val="00C96171"/>
    <w:rsid w:val="00C97B1D"/>
    <w:rsid w:val="00CA1FD6"/>
    <w:rsid w:val="00CA2362"/>
    <w:rsid w:val="00CA2AEF"/>
    <w:rsid w:val="00CA378F"/>
    <w:rsid w:val="00CA45C9"/>
    <w:rsid w:val="00CA4640"/>
    <w:rsid w:val="00CA479B"/>
    <w:rsid w:val="00CA5019"/>
    <w:rsid w:val="00CA52BE"/>
    <w:rsid w:val="00CA5D99"/>
    <w:rsid w:val="00CA5F94"/>
    <w:rsid w:val="00CA6AEA"/>
    <w:rsid w:val="00CA6CF3"/>
    <w:rsid w:val="00CA79A6"/>
    <w:rsid w:val="00CB0A93"/>
    <w:rsid w:val="00CB1126"/>
    <w:rsid w:val="00CB13AE"/>
    <w:rsid w:val="00CB21AE"/>
    <w:rsid w:val="00CB2C6D"/>
    <w:rsid w:val="00CB2EF1"/>
    <w:rsid w:val="00CB35F0"/>
    <w:rsid w:val="00CB4350"/>
    <w:rsid w:val="00CB487B"/>
    <w:rsid w:val="00CB5D9D"/>
    <w:rsid w:val="00CB5DE2"/>
    <w:rsid w:val="00CB6EC6"/>
    <w:rsid w:val="00CC110A"/>
    <w:rsid w:val="00CC156E"/>
    <w:rsid w:val="00CC34E9"/>
    <w:rsid w:val="00CC3EF8"/>
    <w:rsid w:val="00CC4BC1"/>
    <w:rsid w:val="00CC4EB2"/>
    <w:rsid w:val="00CC51E3"/>
    <w:rsid w:val="00CC592C"/>
    <w:rsid w:val="00CC5A7D"/>
    <w:rsid w:val="00CC7C80"/>
    <w:rsid w:val="00CD08A4"/>
    <w:rsid w:val="00CD0D6A"/>
    <w:rsid w:val="00CD0DA8"/>
    <w:rsid w:val="00CD1A55"/>
    <w:rsid w:val="00CD2DC3"/>
    <w:rsid w:val="00CD365D"/>
    <w:rsid w:val="00CD3CCE"/>
    <w:rsid w:val="00CD3EB1"/>
    <w:rsid w:val="00CD507A"/>
    <w:rsid w:val="00CD5445"/>
    <w:rsid w:val="00CD589F"/>
    <w:rsid w:val="00CD5C80"/>
    <w:rsid w:val="00CD636E"/>
    <w:rsid w:val="00CD6CAD"/>
    <w:rsid w:val="00CD6CDB"/>
    <w:rsid w:val="00CE00D0"/>
    <w:rsid w:val="00CE0775"/>
    <w:rsid w:val="00CE0F21"/>
    <w:rsid w:val="00CE172F"/>
    <w:rsid w:val="00CE2899"/>
    <w:rsid w:val="00CE2F8C"/>
    <w:rsid w:val="00CE3013"/>
    <w:rsid w:val="00CE3103"/>
    <w:rsid w:val="00CE35A8"/>
    <w:rsid w:val="00CE380C"/>
    <w:rsid w:val="00CE39EE"/>
    <w:rsid w:val="00CE4213"/>
    <w:rsid w:val="00CE645C"/>
    <w:rsid w:val="00CE7215"/>
    <w:rsid w:val="00CE7E12"/>
    <w:rsid w:val="00CF2C5A"/>
    <w:rsid w:val="00CF31A2"/>
    <w:rsid w:val="00CF31C1"/>
    <w:rsid w:val="00CF33E3"/>
    <w:rsid w:val="00CF394E"/>
    <w:rsid w:val="00CF4E24"/>
    <w:rsid w:val="00CF6586"/>
    <w:rsid w:val="00CF7796"/>
    <w:rsid w:val="00D00D70"/>
    <w:rsid w:val="00D01558"/>
    <w:rsid w:val="00D0161E"/>
    <w:rsid w:val="00D01795"/>
    <w:rsid w:val="00D01C69"/>
    <w:rsid w:val="00D01DA2"/>
    <w:rsid w:val="00D02072"/>
    <w:rsid w:val="00D0268B"/>
    <w:rsid w:val="00D03563"/>
    <w:rsid w:val="00D035DD"/>
    <w:rsid w:val="00D04D5C"/>
    <w:rsid w:val="00D052F0"/>
    <w:rsid w:val="00D05529"/>
    <w:rsid w:val="00D06154"/>
    <w:rsid w:val="00D06A94"/>
    <w:rsid w:val="00D06B79"/>
    <w:rsid w:val="00D06FD0"/>
    <w:rsid w:val="00D07A4F"/>
    <w:rsid w:val="00D11CA5"/>
    <w:rsid w:val="00D123D0"/>
    <w:rsid w:val="00D12BB1"/>
    <w:rsid w:val="00D139A7"/>
    <w:rsid w:val="00D13BD1"/>
    <w:rsid w:val="00D14270"/>
    <w:rsid w:val="00D15797"/>
    <w:rsid w:val="00D16395"/>
    <w:rsid w:val="00D16CC9"/>
    <w:rsid w:val="00D16CF9"/>
    <w:rsid w:val="00D17C60"/>
    <w:rsid w:val="00D20302"/>
    <w:rsid w:val="00D21C5E"/>
    <w:rsid w:val="00D227AD"/>
    <w:rsid w:val="00D228ED"/>
    <w:rsid w:val="00D2295E"/>
    <w:rsid w:val="00D23430"/>
    <w:rsid w:val="00D23E8C"/>
    <w:rsid w:val="00D24163"/>
    <w:rsid w:val="00D24A03"/>
    <w:rsid w:val="00D25267"/>
    <w:rsid w:val="00D25688"/>
    <w:rsid w:val="00D259E6"/>
    <w:rsid w:val="00D25D4D"/>
    <w:rsid w:val="00D2653A"/>
    <w:rsid w:val="00D26B7F"/>
    <w:rsid w:val="00D26CF2"/>
    <w:rsid w:val="00D273AA"/>
    <w:rsid w:val="00D32CFA"/>
    <w:rsid w:val="00D33973"/>
    <w:rsid w:val="00D33FCC"/>
    <w:rsid w:val="00D33FE5"/>
    <w:rsid w:val="00D34A42"/>
    <w:rsid w:val="00D34C76"/>
    <w:rsid w:val="00D35515"/>
    <w:rsid w:val="00D3658F"/>
    <w:rsid w:val="00D36BC9"/>
    <w:rsid w:val="00D401DF"/>
    <w:rsid w:val="00D405A4"/>
    <w:rsid w:val="00D420AF"/>
    <w:rsid w:val="00D4251C"/>
    <w:rsid w:val="00D43927"/>
    <w:rsid w:val="00D4397E"/>
    <w:rsid w:val="00D43BAA"/>
    <w:rsid w:val="00D46C3B"/>
    <w:rsid w:val="00D47DE4"/>
    <w:rsid w:val="00D50A08"/>
    <w:rsid w:val="00D50E06"/>
    <w:rsid w:val="00D513B5"/>
    <w:rsid w:val="00D515C5"/>
    <w:rsid w:val="00D51E8F"/>
    <w:rsid w:val="00D52123"/>
    <w:rsid w:val="00D521AA"/>
    <w:rsid w:val="00D54244"/>
    <w:rsid w:val="00D54BF5"/>
    <w:rsid w:val="00D55D43"/>
    <w:rsid w:val="00D563D5"/>
    <w:rsid w:val="00D57EAB"/>
    <w:rsid w:val="00D60208"/>
    <w:rsid w:val="00D60281"/>
    <w:rsid w:val="00D61670"/>
    <w:rsid w:val="00D61FE6"/>
    <w:rsid w:val="00D62064"/>
    <w:rsid w:val="00D6217D"/>
    <w:rsid w:val="00D62B70"/>
    <w:rsid w:val="00D63793"/>
    <w:rsid w:val="00D6427D"/>
    <w:rsid w:val="00D642F5"/>
    <w:rsid w:val="00D643F3"/>
    <w:rsid w:val="00D649A3"/>
    <w:rsid w:val="00D6527D"/>
    <w:rsid w:val="00D65429"/>
    <w:rsid w:val="00D6702C"/>
    <w:rsid w:val="00D676CF"/>
    <w:rsid w:val="00D718AB"/>
    <w:rsid w:val="00D72131"/>
    <w:rsid w:val="00D7291A"/>
    <w:rsid w:val="00D74231"/>
    <w:rsid w:val="00D7445A"/>
    <w:rsid w:val="00D74744"/>
    <w:rsid w:val="00D74D67"/>
    <w:rsid w:val="00D74E71"/>
    <w:rsid w:val="00D75085"/>
    <w:rsid w:val="00D7510B"/>
    <w:rsid w:val="00D760DE"/>
    <w:rsid w:val="00D763C7"/>
    <w:rsid w:val="00D7649C"/>
    <w:rsid w:val="00D7697E"/>
    <w:rsid w:val="00D77668"/>
    <w:rsid w:val="00D8139D"/>
    <w:rsid w:val="00D8142C"/>
    <w:rsid w:val="00D85312"/>
    <w:rsid w:val="00D859E7"/>
    <w:rsid w:val="00D86B96"/>
    <w:rsid w:val="00D8707C"/>
    <w:rsid w:val="00D91152"/>
    <w:rsid w:val="00D917B0"/>
    <w:rsid w:val="00D91A1F"/>
    <w:rsid w:val="00D9348D"/>
    <w:rsid w:val="00D937C5"/>
    <w:rsid w:val="00D938E7"/>
    <w:rsid w:val="00D97065"/>
    <w:rsid w:val="00DA10BD"/>
    <w:rsid w:val="00DA1415"/>
    <w:rsid w:val="00DA1D11"/>
    <w:rsid w:val="00DA3A2D"/>
    <w:rsid w:val="00DA3D56"/>
    <w:rsid w:val="00DA43BE"/>
    <w:rsid w:val="00DA50BE"/>
    <w:rsid w:val="00DA58E3"/>
    <w:rsid w:val="00DA62C5"/>
    <w:rsid w:val="00DA6A46"/>
    <w:rsid w:val="00DA6BEC"/>
    <w:rsid w:val="00DB03ED"/>
    <w:rsid w:val="00DB0D5E"/>
    <w:rsid w:val="00DB14E7"/>
    <w:rsid w:val="00DB159A"/>
    <w:rsid w:val="00DB39A9"/>
    <w:rsid w:val="00DB3FF7"/>
    <w:rsid w:val="00DB5BFA"/>
    <w:rsid w:val="00DB65AF"/>
    <w:rsid w:val="00DC1EBB"/>
    <w:rsid w:val="00DC1FA1"/>
    <w:rsid w:val="00DC26C6"/>
    <w:rsid w:val="00DC3D2F"/>
    <w:rsid w:val="00DC4783"/>
    <w:rsid w:val="00DC4F1D"/>
    <w:rsid w:val="00DC54E9"/>
    <w:rsid w:val="00DC5ADD"/>
    <w:rsid w:val="00DC676E"/>
    <w:rsid w:val="00DC6814"/>
    <w:rsid w:val="00DC6B8D"/>
    <w:rsid w:val="00DD0CDA"/>
    <w:rsid w:val="00DD21A2"/>
    <w:rsid w:val="00DD254D"/>
    <w:rsid w:val="00DD3846"/>
    <w:rsid w:val="00DD4888"/>
    <w:rsid w:val="00DD4FF6"/>
    <w:rsid w:val="00DD5323"/>
    <w:rsid w:val="00DD6C5F"/>
    <w:rsid w:val="00DD6D24"/>
    <w:rsid w:val="00DD758F"/>
    <w:rsid w:val="00DD7702"/>
    <w:rsid w:val="00DE07B8"/>
    <w:rsid w:val="00DE0901"/>
    <w:rsid w:val="00DE09D1"/>
    <w:rsid w:val="00DE0DA5"/>
    <w:rsid w:val="00DE1BAD"/>
    <w:rsid w:val="00DE1EF3"/>
    <w:rsid w:val="00DE2284"/>
    <w:rsid w:val="00DE23DA"/>
    <w:rsid w:val="00DE28FD"/>
    <w:rsid w:val="00DE2D01"/>
    <w:rsid w:val="00DE3625"/>
    <w:rsid w:val="00DE4362"/>
    <w:rsid w:val="00DE46D2"/>
    <w:rsid w:val="00DE5D94"/>
    <w:rsid w:val="00DE692F"/>
    <w:rsid w:val="00DE725E"/>
    <w:rsid w:val="00DE7465"/>
    <w:rsid w:val="00DE7DA6"/>
    <w:rsid w:val="00DE7E63"/>
    <w:rsid w:val="00DF05F1"/>
    <w:rsid w:val="00DF2252"/>
    <w:rsid w:val="00DF3F6E"/>
    <w:rsid w:val="00DF4DB3"/>
    <w:rsid w:val="00DF5E4F"/>
    <w:rsid w:val="00DF61D7"/>
    <w:rsid w:val="00DF6968"/>
    <w:rsid w:val="00DF6AC7"/>
    <w:rsid w:val="00DF735C"/>
    <w:rsid w:val="00DF7A96"/>
    <w:rsid w:val="00DF7BF0"/>
    <w:rsid w:val="00E00F39"/>
    <w:rsid w:val="00E01759"/>
    <w:rsid w:val="00E03499"/>
    <w:rsid w:val="00E035C1"/>
    <w:rsid w:val="00E03B40"/>
    <w:rsid w:val="00E0487B"/>
    <w:rsid w:val="00E06166"/>
    <w:rsid w:val="00E06C60"/>
    <w:rsid w:val="00E07021"/>
    <w:rsid w:val="00E07BFF"/>
    <w:rsid w:val="00E10999"/>
    <w:rsid w:val="00E10B4F"/>
    <w:rsid w:val="00E13CAA"/>
    <w:rsid w:val="00E14715"/>
    <w:rsid w:val="00E148F7"/>
    <w:rsid w:val="00E154DB"/>
    <w:rsid w:val="00E170E2"/>
    <w:rsid w:val="00E170FA"/>
    <w:rsid w:val="00E20C07"/>
    <w:rsid w:val="00E21161"/>
    <w:rsid w:val="00E21674"/>
    <w:rsid w:val="00E21B55"/>
    <w:rsid w:val="00E22834"/>
    <w:rsid w:val="00E23158"/>
    <w:rsid w:val="00E232DA"/>
    <w:rsid w:val="00E244EB"/>
    <w:rsid w:val="00E259E0"/>
    <w:rsid w:val="00E26BC7"/>
    <w:rsid w:val="00E26E4B"/>
    <w:rsid w:val="00E27124"/>
    <w:rsid w:val="00E27959"/>
    <w:rsid w:val="00E27E85"/>
    <w:rsid w:val="00E27ED0"/>
    <w:rsid w:val="00E3079A"/>
    <w:rsid w:val="00E314B5"/>
    <w:rsid w:val="00E31A97"/>
    <w:rsid w:val="00E321F9"/>
    <w:rsid w:val="00E323EC"/>
    <w:rsid w:val="00E328D5"/>
    <w:rsid w:val="00E3312A"/>
    <w:rsid w:val="00E3546E"/>
    <w:rsid w:val="00E367AF"/>
    <w:rsid w:val="00E3730F"/>
    <w:rsid w:val="00E40231"/>
    <w:rsid w:val="00E409D1"/>
    <w:rsid w:val="00E416F5"/>
    <w:rsid w:val="00E42680"/>
    <w:rsid w:val="00E42A0B"/>
    <w:rsid w:val="00E42CEE"/>
    <w:rsid w:val="00E4368B"/>
    <w:rsid w:val="00E43B8E"/>
    <w:rsid w:val="00E447BA"/>
    <w:rsid w:val="00E448D7"/>
    <w:rsid w:val="00E44C81"/>
    <w:rsid w:val="00E44DC9"/>
    <w:rsid w:val="00E45550"/>
    <w:rsid w:val="00E45D80"/>
    <w:rsid w:val="00E46280"/>
    <w:rsid w:val="00E5059B"/>
    <w:rsid w:val="00E513AC"/>
    <w:rsid w:val="00E513D2"/>
    <w:rsid w:val="00E51902"/>
    <w:rsid w:val="00E522AE"/>
    <w:rsid w:val="00E52680"/>
    <w:rsid w:val="00E52821"/>
    <w:rsid w:val="00E5317D"/>
    <w:rsid w:val="00E535D9"/>
    <w:rsid w:val="00E54460"/>
    <w:rsid w:val="00E5484E"/>
    <w:rsid w:val="00E573FB"/>
    <w:rsid w:val="00E5768A"/>
    <w:rsid w:val="00E578A8"/>
    <w:rsid w:val="00E61BB2"/>
    <w:rsid w:val="00E61F80"/>
    <w:rsid w:val="00E627AE"/>
    <w:rsid w:val="00E63848"/>
    <w:rsid w:val="00E63E24"/>
    <w:rsid w:val="00E64375"/>
    <w:rsid w:val="00E644D5"/>
    <w:rsid w:val="00E6590D"/>
    <w:rsid w:val="00E66DE5"/>
    <w:rsid w:val="00E67692"/>
    <w:rsid w:val="00E67760"/>
    <w:rsid w:val="00E67A23"/>
    <w:rsid w:val="00E720C2"/>
    <w:rsid w:val="00E73BE9"/>
    <w:rsid w:val="00E7418B"/>
    <w:rsid w:val="00E74F6A"/>
    <w:rsid w:val="00E7645B"/>
    <w:rsid w:val="00E76ECA"/>
    <w:rsid w:val="00E82377"/>
    <w:rsid w:val="00E82643"/>
    <w:rsid w:val="00E827CA"/>
    <w:rsid w:val="00E82ECF"/>
    <w:rsid w:val="00E8396D"/>
    <w:rsid w:val="00E84146"/>
    <w:rsid w:val="00E85D96"/>
    <w:rsid w:val="00E861A0"/>
    <w:rsid w:val="00E86D12"/>
    <w:rsid w:val="00E87BEF"/>
    <w:rsid w:val="00E87D5D"/>
    <w:rsid w:val="00E91286"/>
    <w:rsid w:val="00E913C2"/>
    <w:rsid w:val="00E91EFA"/>
    <w:rsid w:val="00E928C1"/>
    <w:rsid w:val="00E93E3B"/>
    <w:rsid w:val="00E95117"/>
    <w:rsid w:val="00E95C92"/>
    <w:rsid w:val="00E965D6"/>
    <w:rsid w:val="00E975C4"/>
    <w:rsid w:val="00E97633"/>
    <w:rsid w:val="00EA1C42"/>
    <w:rsid w:val="00EA334A"/>
    <w:rsid w:val="00EA3811"/>
    <w:rsid w:val="00EA3B01"/>
    <w:rsid w:val="00EA3D2F"/>
    <w:rsid w:val="00EA415E"/>
    <w:rsid w:val="00EA46F8"/>
    <w:rsid w:val="00EA4A48"/>
    <w:rsid w:val="00EA6DB4"/>
    <w:rsid w:val="00EA6E13"/>
    <w:rsid w:val="00EB15E2"/>
    <w:rsid w:val="00EB19D5"/>
    <w:rsid w:val="00EB2B06"/>
    <w:rsid w:val="00EB43F2"/>
    <w:rsid w:val="00EB475D"/>
    <w:rsid w:val="00EB4DF8"/>
    <w:rsid w:val="00EB4E4B"/>
    <w:rsid w:val="00EB5B0B"/>
    <w:rsid w:val="00EB63D8"/>
    <w:rsid w:val="00EB68F2"/>
    <w:rsid w:val="00EB6D06"/>
    <w:rsid w:val="00EB77E4"/>
    <w:rsid w:val="00EC285D"/>
    <w:rsid w:val="00EC3AEA"/>
    <w:rsid w:val="00EC47B2"/>
    <w:rsid w:val="00EC60F1"/>
    <w:rsid w:val="00EC7365"/>
    <w:rsid w:val="00EC75F5"/>
    <w:rsid w:val="00ED0D85"/>
    <w:rsid w:val="00ED1ED0"/>
    <w:rsid w:val="00ED2AC7"/>
    <w:rsid w:val="00ED2B58"/>
    <w:rsid w:val="00ED2FF8"/>
    <w:rsid w:val="00ED313B"/>
    <w:rsid w:val="00ED32FF"/>
    <w:rsid w:val="00ED395E"/>
    <w:rsid w:val="00ED3CD7"/>
    <w:rsid w:val="00ED408E"/>
    <w:rsid w:val="00ED5DFC"/>
    <w:rsid w:val="00ED700B"/>
    <w:rsid w:val="00ED73A8"/>
    <w:rsid w:val="00ED7627"/>
    <w:rsid w:val="00ED78F2"/>
    <w:rsid w:val="00ED7CF1"/>
    <w:rsid w:val="00EE0F0A"/>
    <w:rsid w:val="00EE1678"/>
    <w:rsid w:val="00EE1D1A"/>
    <w:rsid w:val="00EE2D1D"/>
    <w:rsid w:val="00EE3112"/>
    <w:rsid w:val="00EE3C94"/>
    <w:rsid w:val="00EE54EE"/>
    <w:rsid w:val="00EE7980"/>
    <w:rsid w:val="00EF01BE"/>
    <w:rsid w:val="00EF10C5"/>
    <w:rsid w:val="00EF3190"/>
    <w:rsid w:val="00EF3462"/>
    <w:rsid w:val="00EF3CC9"/>
    <w:rsid w:val="00EF59B2"/>
    <w:rsid w:val="00EF5E32"/>
    <w:rsid w:val="00EF6579"/>
    <w:rsid w:val="00EF6C0B"/>
    <w:rsid w:val="00EF7BE1"/>
    <w:rsid w:val="00EF7EE1"/>
    <w:rsid w:val="00F0006F"/>
    <w:rsid w:val="00F019C4"/>
    <w:rsid w:val="00F039B8"/>
    <w:rsid w:val="00F04CED"/>
    <w:rsid w:val="00F04EAC"/>
    <w:rsid w:val="00F05D7C"/>
    <w:rsid w:val="00F060F9"/>
    <w:rsid w:val="00F063A6"/>
    <w:rsid w:val="00F0661C"/>
    <w:rsid w:val="00F06BF0"/>
    <w:rsid w:val="00F06FDB"/>
    <w:rsid w:val="00F07558"/>
    <w:rsid w:val="00F076B6"/>
    <w:rsid w:val="00F10FA6"/>
    <w:rsid w:val="00F112AE"/>
    <w:rsid w:val="00F12200"/>
    <w:rsid w:val="00F12431"/>
    <w:rsid w:val="00F12FE6"/>
    <w:rsid w:val="00F137C8"/>
    <w:rsid w:val="00F14C41"/>
    <w:rsid w:val="00F1502F"/>
    <w:rsid w:val="00F15095"/>
    <w:rsid w:val="00F15D9E"/>
    <w:rsid w:val="00F1645A"/>
    <w:rsid w:val="00F1675C"/>
    <w:rsid w:val="00F16E36"/>
    <w:rsid w:val="00F2081F"/>
    <w:rsid w:val="00F20A99"/>
    <w:rsid w:val="00F22834"/>
    <w:rsid w:val="00F23012"/>
    <w:rsid w:val="00F23112"/>
    <w:rsid w:val="00F231DA"/>
    <w:rsid w:val="00F23C07"/>
    <w:rsid w:val="00F2410A"/>
    <w:rsid w:val="00F2474C"/>
    <w:rsid w:val="00F24BF8"/>
    <w:rsid w:val="00F24EE3"/>
    <w:rsid w:val="00F2536F"/>
    <w:rsid w:val="00F259D1"/>
    <w:rsid w:val="00F25D83"/>
    <w:rsid w:val="00F262C6"/>
    <w:rsid w:val="00F2643E"/>
    <w:rsid w:val="00F26487"/>
    <w:rsid w:val="00F27162"/>
    <w:rsid w:val="00F27A82"/>
    <w:rsid w:val="00F30D4F"/>
    <w:rsid w:val="00F311C1"/>
    <w:rsid w:val="00F3129A"/>
    <w:rsid w:val="00F31A60"/>
    <w:rsid w:val="00F32677"/>
    <w:rsid w:val="00F32979"/>
    <w:rsid w:val="00F34156"/>
    <w:rsid w:val="00F34CA6"/>
    <w:rsid w:val="00F35362"/>
    <w:rsid w:val="00F36C2F"/>
    <w:rsid w:val="00F37B5D"/>
    <w:rsid w:val="00F40C43"/>
    <w:rsid w:val="00F40F26"/>
    <w:rsid w:val="00F4198F"/>
    <w:rsid w:val="00F4289C"/>
    <w:rsid w:val="00F42F01"/>
    <w:rsid w:val="00F44E12"/>
    <w:rsid w:val="00F46EAF"/>
    <w:rsid w:val="00F474FA"/>
    <w:rsid w:val="00F503F2"/>
    <w:rsid w:val="00F50791"/>
    <w:rsid w:val="00F50B1D"/>
    <w:rsid w:val="00F52197"/>
    <w:rsid w:val="00F52747"/>
    <w:rsid w:val="00F52D15"/>
    <w:rsid w:val="00F53CD6"/>
    <w:rsid w:val="00F54497"/>
    <w:rsid w:val="00F5651A"/>
    <w:rsid w:val="00F579AB"/>
    <w:rsid w:val="00F601D6"/>
    <w:rsid w:val="00F60C3D"/>
    <w:rsid w:val="00F63C0D"/>
    <w:rsid w:val="00F64492"/>
    <w:rsid w:val="00F64EA7"/>
    <w:rsid w:val="00F64F46"/>
    <w:rsid w:val="00F6628A"/>
    <w:rsid w:val="00F66535"/>
    <w:rsid w:val="00F701B5"/>
    <w:rsid w:val="00F70A4C"/>
    <w:rsid w:val="00F713C4"/>
    <w:rsid w:val="00F714CF"/>
    <w:rsid w:val="00F716F2"/>
    <w:rsid w:val="00F71785"/>
    <w:rsid w:val="00F71B83"/>
    <w:rsid w:val="00F7269C"/>
    <w:rsid w:val="00F72F28"/>
    <w:rsid w:val="00F7332F"/>
    <w:rsid w:val="00F73D95"/>
    <w:rsid w:val="00F73E65"/>
    <w:rsid w:val="00F74C54"/>
    <w:rsid w:val="00F75373"/>
    <w:rsid w:val="00F75883"/>
    <w:rsid w:val="00F77669"/>
    <w:rsid w:val="00F8162C"/>
    <w:rsid w:val="00F826E8"/>
    <w:rsid w:val="00F829BA"/>
    <w:rsid w:val="00F8302E"/>
    <w:rsid w:val="00F841D1"/>
    <w:rsid w:val="00F843BF"/>
    <w:rsid w:val="00F84DC9"/>
    <w:rsid w:val="00F85C41"/>
    <w:rsid w:val="00F8613A"/>
    <w:rsid w:val="00F866C4"/>
    <w:rsid w:val="00F87ED1"/>
    <w:rsid w:val="00F913AA"/>
    <w:rsid w:val="00F91A45"/>
    <w:rsid w:val="00F92738"/>
    <w:rsid w:val="00F93515"/>
    <w:rsid w:val="00F93664"/>
    <w:rsid w:val="00F94381"/>
    <w:rsid w:val="00F95770"/>
    <w:rsid w:val="00F95A03"/>
    <w:rsid w:val="00F95FF9"/>
    <w:rsid w:val="00F963B4"/>
    <w:rsid w:val="00F966E8"/>
    <w:rsid w:val="00F96B34"/>
    <w:rsid w:val="00F9798C"/>
    <w:rsid w:val="00FA04EF"/>
    <w:rsid w:val="00FA0566"/>
    <w:rsid w:val="00FA0911"/>
    <w:rsid w:val="00FA0B02"/>
    <w:rsid w:val="00FA1CF2"/>
    <w:rsid w:val="00FA258F"/>
    <w:rsid w:val="00FA289A"/>
    <w:rsid w:val="00FA3136"/>
    <w:rsid w:val="00FA327D"/>
    <w:rsid w:val="00FA3B02"/>
    <w:rsid w:val="00FA5418"/>
    <w:rsid w:val="00FA55F1"/>
    <w:rsid w:val="00FA5CFE"/>
    <w:rsid w:val="00FA6071"/>
    <w:rsid w:val="00FA7A79"/>
    <w:rsid w:val="00FB0130"/>
    <w:rsid w:val="00FB06E8"/>
    <w:rsid w:val="00FB0D20"/>
    <w:rsid w:val="00FB13E2"/>
    <w:rsid w:val="00FB1BDD"/>
    <w:rsid w:val="00FB2C27"/>
    <w:rsid w:val="00FB2D23"/>
    <w:rsid w:val="00FB37B4"/>
    <w:rsid w:val="00FB5CDC"/>
    <w:rsid w:val="00FC00F0"/>
    <w:rsid w:val="00FC0271"/>
    <w:rsid w:val="00FC0B99"/>
    <w:rsid w:val="00FC203A"/>
    <w:rsid w:val="00FC28CC"/>
    <w:rsid w:val="00FC2CC6"/>
    <w:rsid w:val="00FC2FFE"/>
    <w:rsid w:val="00FC357B"/>
    <w:rsid w:val="00FC3E3F"/>
    <w:rsid w:val="00FC4646"/>
    <w:rsid w:val="00FC4B4B"/>
    <w:rsid w:val="00FC69DB"/>
    <w:rsid w:val="00FD0561"/>
    <w:rsid w:val="00FD0F32"/>
    <w:rsid w:val="00FD1202"/>
    <w:rsid w:val="00FD1596"/>
    <w:rsid w:val="00FD1C58"/>
    <w:rsid w:val="00FD219F"/>
    <w:rsid w:val="00FD3604"/>
    <w:rsid w:val="00FD365A"/>
    <w:rsid w:val="00FD3B28"/>
    <w:rsid w:val="00FD4024"/>
    <w:rsid w:val="00FD6CA0"/>
    <w:rsid w:val="00FD78EE"/>
    <w:rsid w:val="00FD7A31"/>
    <w:rsid w:val="00FE1D83"/>
    <w:rsid w:val="00FE2848"/>
    <w:rsid w:val="00FE2B40"/>
    <w:rsid w:val="00FE38E1"/>
    <w:rsid w:val="00FE4D25"/>
    <w:rsid w:val="00FE5AFD"/>
    <w:rsid w:val="00FE5D2D"/>
    <w:rsid w:val="00FE6B5B"/>
    <w:rsid w:val="00FE6B94"/>
    <w:rsid w:val="00FE7414"/>
    <w:rsid w:val="00FE741D"/>
    <w:rsid w:val="00FF0AE5"/>
    <w:rsid w:val="00FF0E00"/>
    <w:rsid w:val="00FF1713"/>
    <w:rsid w:val="00FF1878"/>
    <w:rsid w:val="00FF2D44"/>
    <w:rsid w:val="00FF2F79"/>
    <w:rsid w:val="00FF3245"/>
    <w:rsid w:val="00FF3B77"/>
    <w:rsid w:val="00FF3DF8"/>
    <w:rsid w:val="00FF41F5"/>
    <w:rsid w:val="00FF45DE"/>
    <w:rsid w:val="00FF5306"/>
    <w:rsid w:val="00FF65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6D623"/>
  <w15:chartTrackingRefBased/>
  <w15:docId w15:val="{BF7DF555-3420-48C5-9938-CDD693115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130"/>
    <w:pPr>
      <w:spacing w:before="120" w:after="120" w:line="264" w:lineRule="auto"/>
    </w:pPr>
  </w:style>
  <w:style w:type="paragraph" w:styleId="Heading1">
    <w:name w:val="heading 1"/>
    <w:basedOn w:val="Normal"/>
    <w:next w:val="Normal"/>
    <w:link w:val="Heading1Char"/>
    <w:uiPriority w:val="9"/>
    <w:qFormat/>
    <w:rsid w:val="00DD7702"/>
    <w:pPr>
      <w:keepNext/>
      <w:keepLines/>
      <w:spacing w:before="600" w:after="200"/>
      <w:outlineLvl w:val="0"/>
    </w:pPr>
    <w:rPr>
      <w:rFonts w:eastAsiaTheme="majorEastAsia" w:cstheme="majorBidi"/>
      <w:b/>
      <w:color w:val="000000" w:themeColor="text1"/>
      <w:sz w:val="36"/>
      <w:szCs w:val="32"/>
    </w:rPr>
  </w:style>
  <w:style w:type="paragraph" w:styleId="Heading2">
    <w:name w:val="heading 2"/>
    <w:basedOn w:val="Normal"/>
    <w:next w:val="Normal"/>
    <w:link w:val="Heading2Char"/>
    <w:uiPriority w:val="9"/>
    <w:unhideWhenUsed/>
    <w:qFormat/>
    <w:rsid w:val="00EA6E13"/>
    <w:pPr>
      <w:keepNext/>
      <w:keepLines/>
      <w:outlineLvl w:val="1"/>
    </w:pPr>
    <w:rPr>
      <w:rFonts w:eastAsiaTheme="majorEastAsia" w:cstheme="majorBidi"/>
      <w:b/>
      <w:color w:val="000000" w:themeColor="text1"/>
      <w:sz w:val="32"/>
      <w:szCs w:val="26"/>
    </w:rPr>
  </w:style>
  <w:style w:type="paragraph" w:styleId="Heading3">
    <w:name w:val="heading 3"/>
    <w:basedOn w:val="Normal"/>
    <w:next w:val="Normal"/>
    <w:link w:val="Heading3Char"/>
    <w:uiPriority w:val="9"/>
    <w:unhideWhenUsed/>
    <w:qFormat/>
    <w:rsid w:val="00902B08"/>
    <w:pPr>
      <w:keepNext/>
      <w:keepLines/>
      <w:spacing w:before="240"/>
      <w:outlineLvl w:val="2"/>
    </w:pPr>
    <w:rPr>
      <w:rFonts w:eastAsiaTheme="majorEastAsia" w:cstheme="majorBidi"/>
      <w:b/>
      <w:sz w:val="28"/>
    </w:rPr>
  </w:style>
  <w:style w:type="paragraph" w:styleId="Heading4">
    <w:name w:val="heading 4"/>
    <w:basedOn w:val="Normal"/>
    <w:next w:val="Normal"/>
    <w:link w:val="Heading4Char"/>
    <w:autoRedefine/>
    <w:uiPriority w:val="9"/>
    <w:unhideWhenUsed/>
    <w:qFormat/>
    <w:rsid w:val="002554CE"/>
    <w:pPr>
      <w:keepNext/>
      <w:keepLines/>
      <w:outlineLvl w:val="3"/>
    </w:pPr>
    <w:rPr>
      <w:rFonts w:cs="Arial"/>
      <w:b/>
      <w:bCs/>
      <w:color w:val="000000" w:themeColor="text1"/>
    </w:rPr>
  </w:style>
  <w:style w:type="paragraph" w:styleId="Heading5">
    <w:name w:val="heading 5"/>
    <w:basedOn w:val="Normal"/>
    <w:next w:val="Normal"/>
    <w:link w:val="Heading5Char"/>
    <w:uiPriority w:val="9"/>
    <w:unhideWhenUsed/>
    <w:qFormat/>
    <w:rsid w:val="00A24D6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7702"/>
    <w:rPr>
      <w:rFonts w:eastAsiaTheme="majorEastAsia" w:cstheme="majorBidi"/>
      <w:b/>
      <w:color w:val="000000" w:themeColor="text1"/>
      <w:sz w:val="36"/>
      <w:szCs w:val="32"/>
    </w:rPr>
  </w:style>
  <w:style w:type="character" w:customStyle="1" w:styleId="Heading2Char">
    <w:name w:val="Heading 2 Char"/>
    <w:basedOn w:val="DefaultParagraphFont"/>
    <w:link w:val="Heading2"/>
    <w:uiPriority w:val="9"/>
    <w:rsid w:val="00EA6E13"/>
    <w:rPr>
      <w:rFonts w:eastAsiaTheme="majorEastAsia" w:cstheme="majorBidi"/>
      <w:b/>
      <w:color w:val="000000" w:themeColor="text1"/>
      <w:sz w:val="32"/>
      <w:szCs w:val="26"/>
    </w:rPr>
  </w:style>
  <w:style w:type="character" w:customStyle="1" w:styleId="Heading3Char">
    <w:name w:val="Heading 3 Char"/>
    <w:basedOn w:val="DefaultParagraphFont"/>
    <w:link w:val="Heading3"/>
    <w:uiPriority w:val="9"/>
    <w:rsid w:val="00902B08"/>
    <w:rPr>
      <w:rFonts w:eastAsiaTheme="majorEastAsia" w:cstheme="majorBidi"/>
      <w:b/>
      <w:sz w:val="28"/>
    </w:rPr>
  </w:style>
  <w:style w:type="character" w:customStyle="1" w:styleId="Heading4Char">
    <w:name w:val="Heading 4 Char"/>
    <w:basedOn w:val="DefaultParagraphFont"/>
    <w:link w:val="Heading4"/>
    <w:uiPriority w:val="9"/>
    <w:rsid w:val="002554CE"/>
    <w:rPr>
      <w:rFonts w:cs="Arial"/>
      <w:b/>
      <w:bCs/>
      <w:color w:val="000000" w:themeColor="text1"/>
    </w:rPr>
  </w:style>
  <w:style w:type="paragraph" w:styleId="Header">
    <w:name w:val="header"/>
    <w:basedOn w:val="Normal"/>
    <w:link w:val="HeaderChar"/>
    <w:uiPriority w:val="99"/>
    <w:unhideWhenUsed/>
    <w:rsid w:val="00773069"/>
    <w:pPr>
      <w:tabs>
        <w:tab w:val="center" w:pos="4513"/>
        <w:tab w:val="right" w:pos="9026"/>
      </w:tabs>
      <w:spacing w:line="240" w:lineRule="auto"/>
    </w:pPr>
  </w:style>
  <w:style w:type="character" w:customStyle="1" w:styleId="HeaderChar">
    <w:name w:val="Header Char"/>
    <w:basedOn w:val="DefaultParagraphFont"/>
    <w:link w:val="Header"/>
    <w:uiPriority w:val="99"/>
    <w:rsid w:val="00773069"/>
  </w:style>
  <w:style w:type="paragraph" w:styleId="Footer">
    <w:name w:val="footer"/>
    <w:basedOn w:val="Normal"/>
    <w:link w:val="FooterChar"/>
    <w:uiPriority w:val="99"/>
    <w:unhideWhenUsed/>
    <w:rsid w:val="00773069"/>
    <w:pPr>
      <w:tabs>
        <w:tab w:val="center" w:pos="4513"/>
        <w:tab w:val="right" w:pos="9026"/>
      </w:tabs>
      <w:spacing w:line="240" w:lineRule="auto"/>
    </w:pPr>
  </w:style>
  <w:style w:type="character" w:customStyle="1" w:styleId="FooterChar">
    <w:name w:val="Footer Char"/>
    <w:basedOn w:val="DefaultParagraphFont"/>
    <w:link w:val="Footer"/>
    <w:uiPriority w:val="99"/>
    <w:rsid w:val="00773069"/>
  </w:style>
  <w:style w:type="paragraph" w:styleId="NormalWeb">
    <w:name w:val="Normal (Web)"/>
    <w:basedOn w:val="Normal"/>
    <w:uiPriority w:val="99"/>
    <w:unhideWhenUsed/>
    <w:rsid w:val="00ED0D85"/>
    <w:pPr>
      <w:spacing w:before="100" w:beforeAutospacing="1" w:after="100" w:afterAutospacing="1" w:line="240" w:lineRule="auto"/>
    </w:pPr>
    <w:rPr>
      <w:rFonts w:ascii="Times New Roman" w:eastAsia="Times New Roman" w:hAnsi="Times New Roman" w:cs="Times New Roman"/>
      <w:sz w:val="34"/>
      <w:szCs w:val="34"/>
      <w:lang w:eastAsia="en-GB"/>
    </w:rPr>
  </w:style>
  <w:style w:type="character" w:styleId="Hyperlink">
    <w:name w:val="Hyperlink"/>
    <w:basedOn w:val="DefaultParagraphFont"/>
    <w:uiPriority w:val="99"/>
    <w:unhideWhenUsed/>
    <w:rsid w:val="00D74E71"/>
    <w:rPr>
      <w:color w:val="0563C1" w:themeColor="hyperlink"/>
      <w:u w:val="single"/>
    </w:rPr>
  </w:style>
  <w:style w:type="table" w:styleId="TableGrid">
    <w:name w:val="Table Grid"/>
    <w:basedOn w:val="TableNormal"/>
    <w:uiPriority w:val="39"/>
    <w:rsid w:val="00837AE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Bullets,Normal + indent,Dot pt,Recommendatio,F5 List Paragraph,List Paragraph2,MAIN CONTENT,List Paragraph12,List Paragraph1,Colorful List - Accent 11,No Spacing1,List Paragraph Char Char Char,Indicator Text,Numbered Para 1,Bullet 1"/>
    <w:basedOn w:val="Normal"/>
    <w:link w:val="ListParagraphChar"/>
    <w:uiPriority w:val="34"/>
    <w:qFormat/>
    <w:rsid w:val="00AD70AB"/>
    <w:pPr>
      <w:ind w:left="720"/>
      <w:contextualSpacing/>
    </w:pPr>
    <w:rPr>
      <w:rFonts w:asciiTheme="minorHAnsi" w:hAnsiTheme="minorHAnsi"/>
      <w:sz w:val="22"/>
    </w:rPr>
  </w:style>
  <w:style w:type="character" w:styleId="HTMLCode">
    <w:name w:val="HTML Code"/>
    <w:basedOn w:val="DefaultParagraphFont"/>
    <w:uiPriority w:val="99"/>
    <w:semiHidden/>
    <w:unhideWhenUsed/>
    <w:rsid w:val="00D7445A"/>
    <w:rPr>
      <w:rFonts w:ascii="Courier New" w:eastAsia="Times New Roman" w:hAnsi="Courier New" w:cs="Courier New"/>
      <w:sz w:val="20"/>
      <w:szCs w:val="20"/>
    </w:rPr>
  </w:style>
  <w:style w:type="paragraph" w:styleId="Revision">
    <w:name w:val="Revision"/>
    <w:hidden/>
    <w:uiPriority w:val="99"/>
    <w:semiHidden/>
    <w:rsid w:val="00CC34E9"/>
    <w:pPr>
      <w:spacing w:line="240" w:lineRule="auto"/>
    </w:pPr>
  </w:style>
  <w:style w:type="character" w:styleId="CommentReference">
    <w:name w:val="annotation reference"/>
    <w:basedOn w:val="DefaultParagraphFont"/>
    <w:uiPriority w:val="99"/>
    <w:semiHidden/>
    <w:unhideWhenUsed/>
    <w:rsid w:val="00CC34E9"/>
    <w:rPr>
      <w:sz w:val="16"/>
      <w:szCs w:val="16"/>
    </w:rPr>
  </w:style>
  <w:style w:type="paragraph" w:styleId="CommentText">
    <w:name w:val="annotation text"/>
    <w:basedOn w:val="Normal"/>
    <w:link w:val="CommentTextChar"/>
    <w:uiPriority w:val="99"/>
    <w:unhideWhenUsed/>
    <w:rsid w:val="00CC34E9"/>
    <w:pPr>
      <w:spacing w:line="240" w:lineRule="auto"/>
    </w:pPr>
    <w:rPr>
      <w:sz w:val="20"/>
      <w:szCs w:val="20"/>
    </w:rPr>
  </w:style>
  <w:style w:type="character" w:customStyle="1" w:styleId="CommentTextChar">
    <w:name w:val="Comment Text Char"/>
    <w:basedOn w:val="DefaultParagraphFont"/>
    <w:link w:val="CommentText"/>
    <w:uiPriority w:val="99"/>
    <w:rsid w:val="00CC34E9"/>
    <w:rPr>
      <w:sz w:val="20"/>
      <w:szCs w:val="20"/>
    </w:rPr>
  </w:style>
  <w:style w:type="paragraph" w:styleId="CommentSubject">
    <w:name w:val="annotation subject"/>
    <w:basedOn w:val="CommentText"/>
    <w:next w:val="CommentText"/>
    <w:link w:val="CommentSubjectChar"/>
    <w:uiPriority w:val="99"/>
    <w:semiHidden/>
    <w:unhideWhenUsed/>
    <w:rsid w:val="00CC34E9"/>
    <w:rPr>
      <w:b/>
      <w:bCs/>
    </w:rPr>
  </w:style>
  <w:style w:type="character" w:customStyle="1" w:styleId="CommentSubjectChar">
    <w:name w:val="Comment Subject Char"/>
    <w:basedOn w:val="CommentTextChar"/>
    <w:link w:val="CommentSubject"/>
    <w:uiPriority w:val="99"/>
    <w:semiHidden/>
    <w:rsid w:val="00CC34E9"/>
    <w:rPr>
      <w:b/>
      <w:bCs/>
      <w:sz w:val="20"/>
      <w:szCs w:val="20"/>
    </w:rPr>
  </w:style>
  <w:style w:type="paragraph" w:styleId="BalloonText">
    <w:name w:val="Balloon Text"/>
    <w:basedOn w:val="Normal"/>
    <w:link w:val="BalloonTextChar"/>
    <w:uiPriority w:val="99"/>
    <w:semiHidden/>
    <w:unhideWhenUsed/>
    <w:rsid w:val="00CC34E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34E9"/>
    <w:rPr>
      <w:rFonts w:ascii="Segoe UI" w:hAnsi="Segoe UI" w:cs="Segoe UI"/>
      <w:sz w:val="18"/>
      <w:szCs w:val="18"/>
    </w:rPr>
  </w:style>
  <w:style w:type="paragraph" w:customStyle="1" w:styleId="Bullets">
    <w:name w:val="Bullets"/>
    <w:basedOn w:val="ListBullet"/>
    <w:next w:val="ListBullet"/>
    <w:link w:val="BulletsChar"/>
    <w:rsid w:val="00052644"/>
    <w:pPr>
      <w:spacing w:before="40" w:after="40"/>
      <w:ind w:left="357" w:hanging="357"/>
      <w:contextualSpacing w:val="0"/>
    </w:pPr>
    <w:rPr>
      <w:noProof/>
      <w:lang w:eastAsia="en-GB"/>
    </w:rPr>
  </w:style>
  <w:style w:type="paragraph" w:styleId="ListBullet">
    <w:name w:val="List Bullet"/>
    <w:basedOn w:val="Normal"/>
    <w:link w:val="ListBulletChar"/>
    <w:uiPriority w:val="99"/>
    <w:unhideWhenUsed/>
    <w:rsid w:val="007C3B39"/>
    <w:pPr>
      <w:numPr>
        <w:numId w:val="1"/>
      </w:numPr>
      <w:contextualSpacing/>
    </w:pPr>
  </w:style>
  <w:style w:type="character" w:customStyle="1" w:styleId="ListBulletChar">
    <w:name w:val="List Bullet Char"/>
    <w:basedOn w:val="DefaultParagraphFont"/>
    <w:link w:val="ListBullet"/>
    <w:uiPriority w:val="99"/>
    <w:rsid w:val="007C3B39"/>
  </w:style>
  <w:style w:type="character" w:customStyle="1" w:styleId="BulletsChar">
    <w:name w:val="Bullets Char"/>
    <w:basedOn w:val="ListBulletChar"/>
    <w:link w:val="Bullets"/>
    <w:rsid w:val="00052644"/>
    <w:rPr>
      <w:noProof/>
      <w:lang w:eastAsia="en-GB"/>
    </w:rPr>
  </w:style>
  <w:style w:type="paragraph" w:customStyle="1" w:styleId="Bullet">
    <w:name w:val="Bullet"/>
    <w:basedOn w:val="Bullets"/>
    <w:next w:val="Bullets"/>
    <w:link w:val="BulletChar"/>
    <w:autoRedefine/>
    <w:qFormat/>
    <w:rsid w:val="00D228ED"/>
    <w:pPr>
      <w:numPr>
        <w:numId w:val="16"/>
      </w:numPr>
    </w:pPr>
  </w:style>
  <w:style w:type="character" w:customStyle="1" w:styleId="BulletChar">
    <w:name w:val="Bullet Char"/>
    <w:basedOn w:val="BulletsChar"/>
    <w:link w:val="Bullet"/>
    <w:rsid w:val="00D228ED"/>
    <w:rPr>
      <w:noProof/>
      <w:lang w:eastAsia="en-GB"/>
    </w:rPr>
  </w:style>
  <w:style w:type="paragraph" w:styleId="TOCHeading">
    <w:name w:val="TOC Heading"/>
    <w:basedOn w:val="Heading1"/>
    <w:next w:val="Normal"/>
    <w:uiPriority w:val="39"/>
    <w:unhideWhenUsed/>
    <w:qFormat/>
    <w:rsid w:val="00556FD1"/>
    <w:pPr>
      <w:spacing w:line="259" w:lineRule="auto"/>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556FD1"/>
    <w:pPr>
      <w:spacing w:after="100"/>
    </w:pPr>
  </w:style>
  <w:style w:type="paragraph" w:styleId="TOC2">
    <w:name w:val="toc 2"/>
    <w:basedOn w:val="Normal"/>
    <w:next w:val="Normal"/>
    <w:autoRedefine/>
    <w:uiPriority w:val="39"/>
    <w:unhideWhenUsed/>
    <w:rsid w:val="006E68E7"/>
    <w:pPr>
      <w:tabs>
        <w:tab w:val="right" w:leader="dot" w:pos="9736"/>
      </w:tabs>
      <w:spacing w:after="100"/>
      <w:ind w:left="240"/>
    </w:pPr>
  </w:style>
  <w:style w:type="paragraph" w:styleId="TOC3">
    <w:name w:val="toc 3"/>
    <w:basedOn w:val="Normal"/>
    <w:next w:val="Normal"/>
    <w:autoRedefine/>
    <w:uiPriority w:val="39"/>
    <w:unhideWhenUsed/>
    <w:rsid w:val="00556FD1"/>
    <w:pPr>
      <w:spacing w:after="100"/>
      <w:ind w:left="480"/>
    </w:pPr>
  </w:style>
  <w:style w:type="paragraph" w:styleId="ListBullet2">
    <w:name w:val="List Bullet 2"/>
    <w:basedOn w:val="Normal"/>
    <w:uiPriority w:val="99"/>
    <w:semiHidden/>
    <w:unhideWhenUsed/>
    <w:rsid w:val="00556FD1"/>
    <w:pPr>
      <w:numPr>
        <w:numId w:val="2"/>
      </w:numPr>
      <w:contextualSpacing/>
    </w:pPr>
  </w:style>
  <w:style w:type="character" w:styleId="Strong">
    <w:name w:val="Strong"/>
    <w:basedOn w:val="DefaultParagraphFont"/>
    <w:uiPriority w:val="22"/>
    <w:qFormat/>
    <w:rsid w:val="00556FD1"/>
    <w:rPr>
      <w:b/>
      <w:bCs/>
    </w:rPr>
  </w:style>
  <w:style w:type="table" w:customStyle="1" w:styleId="TableGrid1">
    <w:name w:val="Table Grid1"/>
    <w:basedOn w:val="TableNormal"/>
    <w:next w:val="TableGrid"/>
    <w:uiPriority w:val="39"/>
    <w:rsid w:val="00A80BC6"/>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80BC6"/>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F46EB"/>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B6AD3"/>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rmal1">
    <w:name w:val="Table Normal1"/>
    <w:basedOn w:val="Normal"/>
    <w:qFormat/>
    <w:rsid w:val="00834FF6"/>
    <w:rPr>
      <w:color w:val="FFFFFF" w:themeColor="background1"/>
      <w:szCs w:val="22"/>
    </w:rPr>
  </w:style>
  <w:style w:type="paragraph" w:customStyle="1" w:styleId="BulletTable">
    <w:name w:val="Bullet Table"/>
    <w:basedOn w:val="Bullets"/>
    <w:qFormat/>
    <w:rsid w:val="005564A9"/>
    <w:rPr>
      <w:szCs w:val="22"/>
    </w:rPr>
  </w:style>
  <w:style w:type="paragraph" w:customStyle="1" w:styleId="Bullet2">
    <w:name w:val="Bullet.2"/>
    <w:basedOn w:val="Bullet"/>
    <w:qFormat/>
    <w:rsid w:val="0087741A"/>
  </w:style>
  <w:style w:type="table" w:customStyle="1" w:styleId="TableGrid5">
    <w:name w:val="Table Grid5"/>
    <w:basedOn w:val="TableNormal"/>
    <w:next w:val="TableGrid"/>
    <w:uiPriority w:val="39"/>
    <w:rsid w:val="004F140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2">
    <w:name w:val="List Number 2"/>
    <w:basedOn w:val="Heading2"/>
    <w:next w:val="Normal"/>
    <w:link w:val="ListNumber2Char"/>
    <w:autoRedefine/>
    <w:uiPriority w:val="99"/>
    <w:unhideWhenUsed/>
    <w:rsid w:val="00080C94"/>
    <w:pPr>
      <w:numPr>
        <w:ilvl w:val="1"/>
        <w:numId w:val="3"/>
      </w:numPr>
      <w:tabs>
        <w:tab w:val="clear" w:pos="1440"/>
        <w:tab w:val="num" w:pos="720"/>
      </w:tabs>
      <w:ind w:left="360" w:hanging="360"/>
      <w:contextualSpacing/>
    </w:pPr>
    <w:rPr>
      <w:rFonts w:eastAsia="Times New Roman" w:cs="Times New Roman"/>
      <w:color w:val="000000"/>
      <w:sz w:val="24"/>
    </w:rPr>
  </w:style>
  <w:style w:type="character" w:customStyle="1" w:styleId="ListNumber2Char">
    <w:name w:val="List Number 2 Char"/>
    <w:link w:val="ListNumber2"/>
    <w:uiPriority w:val="99"/>
    <w:rsid w:val="00080C94"/>
    <w:rPr>
      <w:rFonts w:eastAsia="Times New Roman" w:cs="Times New Roman"/>
      <w:b/>
      <w:color w:val="000000"/>
      <w:szCs w:val="26"/>
    </w:rPr>
  </w:style>
  <w:style w:type="character" w:styleId="FollowedHyperlink">
    <w:name w:val="FollowedHyperlink"/>
    <w:basedOn w:val="DefaultParagraphFont"/>
    <w:uiPriority w:val="99"/>
    <w:semiHidden/>
    <w:unhideWhenUsed/>
    <w:rsid w:val="00EF5E32"/>
    <w:rPr>
      <w:color w:val="954F72" w:themeColor="followedHyperlink"/>
      <w:u w:val="single"/>
    </w:rPr>
  </w:style>
  <w:style w:type="paragraph" w:customStyle="1" w:styleId="Heading4a">
    <w:name w:val="Heading 4a"/>
    <w:basedOn w:val="Heading4"/>
    <w:autoRedefine/>
    <w:uiPriority w:val="99"/>
    <w:qFormat/>
    <w:rsid w:val="00D24A03"/>
    <w:pPr>
      <w:shd w:val="clear" w:color="auto" w:fill="FFF2CC" w:themeFill="accent4" w:themeFillTint="33"/>
      <w:spacing w:before="40" w:after="40" w:line="240" w:lineRule="auto"/>
    </w:pPr>
    <w:rPr>
      <w:b w:val="0"/>
      <w:i/>
      <w:lang w:eastAsia="en-GB"/>
    </w:rPr>
  </w:style>
  <w:style w:type="paragraph" w:customStyle="1" w:styleId="Heading4e">
    <w:name w:val="Heading 4e"/>
    <w:basedOn w:val="Heading4a"/>
    <w:qFormat/>
    <w:rsid w:val="008067A1"/>
    <w:rPr>
      <w:b/>
      <w:color w:val="FFFFFF"/>
    </w:rPr>
  </w:style>
  <w:style w:type="paragraph" w:customStyle="1" w:styleId="Heading4f">
    <w:name w:val="Heading 4f"/>
    <w:basedOn w:val="Heading4e"/>
    <w:qFormat/>
    <w:rsid w:val="008067A1"/>
    <w:pPr>
      <w:jc w:val="center"/>
    </w:pPr>
    <w:rPr>
      <w:bCs w:val="0"/>
    </w:rPr>
  </w:style>
  <w:style w:type="paragraph" w:customStyle="1" w:styleId="Heading4ai">
    <w:name w:val="Heading 4ai"/>
    <w:basedOn w:val="Heading4a"/>
    <w:qFormat/>
    <w:rsid w:val="008067A1"/>
    <w:rPr>
      <w:i w:val="0"/>
      <w:sz w:val="22"/>
    </w:rPr>
  </w:style>
  <w:style w:type="character" w:customStyle="1" w:styleId="ListParagraphChar">
    <w:name w:val="List Paragraph Char"/>
    <w:aliases w:val="List Bullets Char,Normal + indent Char,Dot pt Char,Recommendatio Char,F5 List Paragraph Char,List Paragraph2 Char,MAIN CONTENT Char,List Paragraph12 Char,List Paragraph1 Char,Colorful List - Accent 11 Char,No Spacing1 Char"/>
    <w:link w:val="ListParagraph"/>
    <w:uiPriority w:val="34"/>
    <w:qFormat/>
    <w:locked/>
    <w:rsid w:val="009367B0"/>
    <w:rPr>
      <w:rFonts w:asciiTheme="minorHAnsi" w:hAnsiTheme="minorHAnsi"/>
      <w:sz w:val="22"/>
    </w:rPr>
  </w:style>
  <w:style w:type="paragraph" w:styleId="NoSpacing">
    <w:name w:val="No Spacing"/>
    <w:basedOn w:val="Normal"/>
    <w:uiPriority w:val="1"/>
    <w:qFormat/>
    <w:rsid w:val="003C77EC"/>
    <w:pPr>
      <w:spacing w:before="0" w:after="0" w:line="240" w:lineRule="auto"/>
    </w:pPr>
    <w:rPr>
      <w:rFonts w:ascii="Calibri" w:hAnsi="Calibri" w:cs="Calibri"/>
      <w:sz w:val="22"/>
      <w:szCs w:val="22"/>
    </w:rPr>
  </w:style>
  <w:style w:type="character" w:customStyle="1" w:styleId="ui-provider">
    <w:name w:val="ui-provider"/>
    <w:basedOn w:val="DefaultParagraphFont"/>
    <w:rsid w:val="003A66B3"/>
  </w:style>
  <w:style w:type="table" w:customStyle="1" w:styleId="TableGrid180">
    <w:name w:val="Table Grid180"/>
    <w:basedOn w:val="TableNormal"/>
    <w:next w:val="TableGrid"/>
    <w:uiPriority w:val="39"/>
    <w:rsid w:val="00E03B40"/>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E03B40"/>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39"/>
    <w:rsid w:val="000708C8"/>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A453E"/>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A453E"/>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A04EF"/>
    <w:rPr>
      <w:color w:val="605E5C"/>
      <w:shd w:val="clear" w:color="auto" w:fill="E1DFDD"/>
    </w:rPr>
  </w:style>
  <w:style w:type="character" w:customStyle="1" w:styleId="fui-primitive">
    <w:name w:val="fui-primitive"/>
    <w:basedOn w:val="DefaultParagraphFont"/>
    <w:rsid w:val="00CA6CF3"/>
  </w:style>
  <w:style w:type="table" w:customStyle="1" w:styleId="TableGrid156">
    <w:name w:val="Table Grid156"/>
    <w:basedOn w:val="TableNormal"/>
    <w:next w:val="TableGrid"/>
    <w:uiPriority w:val="39"/>
    <w:rsid w:val="0046314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
    <w:name w:val="Table Grid157"/>
    <w:basedOn w:val="TableNormal"/>
    <w:next w:val="TableGrid"/>
    <w:uiPriority w:val="39"/>
    <w:rsid w:val="0046314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46314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C2679C"/>
    <w:rPr>
      <w:color w:val="605E5C"/>
      <w:shd w:val="clear" w:color="auto" w:fill="E1DFDD"/>
    </w:rPr>
  </w:style>
  <w:style w:type="table" w:customStyle="1" w:styleId="TableGrid8">
    <w:name w:val="Table Grid8"/>
    <w:basedOn w:val="TableNormal"/>
    <w:next w:val="TableGrid"/>
    <w:uiPriority w:val="39"/>
    <w:rsid w:val="00D24A03"/>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E367AF"/>
    <w:pPr>
      <w:autoSpaceDE w:val="0"/>
      <w:autoSpaceDN w:val="0"/>
      <w:adjustRightInd w:val="0"/>
      <w:spacing w:before="0" w:after="0" w:line="240" w:lineRule="auto"/>
    </w:pPr>
    <w:rPr>
      <w:rFonts w:asciiTheme="minorHAnsi" w:hAnsiTheme="minorHAnsi" w:cstheme="minorHAnsi"/>
      <w:color w:val="FF0000"/>
    </w:rPr>
  </w:style>
  <w:style w:type="character" w:customStyle="1" w:styleId="BodyTextChar">
    <w:name w:val="Body Text Char"/>
    <w:basedOn w:val="DefaultParagraphFont"/>
    <w:link w:val="BodyText"/>
    <w:uiPriority w:val="99"/>
    <w:rsid w:val="00E367AF"/>
    <w:rPr>
      <w:rFonts w:asciiTheme="minorHAnsi" w:hAnsiTheme="minorHAnsi" w:cstheme="minorHAnsi"/>
      <w:color w:val="FF0000"/>
    </w:rPr>
  </w:style>
  <w:style w:type="table" w:customStyle="1" w:styleId="TableGrid9">
    <w:name w:val="Table Grid9"/>
    <w:basedOn w:val="TableNormal"/>
    <w:next w:val="TableGrid"/>
    <w:uiPriority w:val="39"/>
    <w:rsid w:val="007620BA"/>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7620BA"/>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2532A2"/>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8972D5"/>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F07558"/>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F07558"/>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F07558"/>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Left">
    <w:name w:val="Table Header Left"/>
    <w:basedOn w:val="TableNormal1"/>
    <w:qFormat/>
    <w:rsid w:val="00FC2CC6"/>
    <w:rPr>
      <w:b/>
      <w:color w:val="auto"/>
    </w:rPr>
  </w:style>
  <w:style w:type="paragraph" w:customStyle="1" w:styleId="TableHeaderCentre">
    <w:name w:val="Table Header Centre"/>
    <w:basedOn w:val="TableNormal1"/>
    <w:qFormat/>
    <w:rsid w:val="005C7704"/>
    <w:pPr>
      <w:jc w:val="center"/>
    </w:pPr>
    <w:rPr>
      <w:b/>
      <w:sz w:val="22"/>
    </w:rPr>
  </w:style>
  <w:style w:type="paragraph" w:customStyle="1" w:styleId="TableBodyLeft">
    <w:name w:val="Table Body Left"/>
    <w:basedOn w:val="Normal"/>
    <w:qFormat/>
    <w:rsid w:val="00DF4DB3"/>
  </w:style>
  <w:style w:type="paragraph" w:customStyle="1" w:styleId="TableBodyCentre">
    <w:name w:val="Table Body Centre"/>
    <w:basedOn w:val="Normal"/>
    <w:qFormat/>
    <w:rsid w:val="000A23B6"/>
    <w:pPr>
      <w:jc w:val="center"/>
    </w:pPr>
    <w:rPr>
      <w:sz w:val="22"/>
    </w:rPr>
  </w:style>
  <w:style w:type="table" w:customStyle="1" w:styleId="TableGrid22">
    <w:name w:val="Table Grid22"/>
    <w:basedOn w:val="TableNormal"/>
    <w:next w:val="TableGrid"/>
    <w:uiPriority w:val="39"/>
    <w:rsid w:val="00700BC4"/>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C5032A"/>
    <w:rPr>
      <w:color w:val="605E5C"/>
      <w:shd w:val="clear" w:color="auto" w:fill="E1DFDD"/>
    </w:rPr>
  </w:style>
  <w:style w:type="character" w:customStyle="1" w:styleId="Heading5Char">
    <w:name w:val="Heading 5 Char"/>
    <w:basedOn w:val="DefaultParagraphFont"/>
    <w:link w:val="Heading5"/>
    <w:uiPriority w:val="9"/>
    <w:rsid w:val="00A24D6F"/>
    <w:rPr>
      <w:rFonts w:asciiTheme="majorHAnsi" w:eastAsiaTheme="majorEastAsia" w:hAnsiTheme="majorHAnsi" w:cstheme="majorBidi"/>
      <w:color w:val="2E74B5" w:themeColor="accent1" w:themeShade="BF"/>
    </w:rPr>
  </w:style>
  <w:style w:type="table" w:customStyle="1" w:styleId="TableGrid23">
    <w:name w:val="Table Grid23"/>
    <w:basedOn w:val="TableNormal"/>
    <w:next w:val="TableGrid"/>
    <w:uiPriority w:val="39"/>
    <w:rsid w:val="009A454B"/>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9A454B"/>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9A454B"/>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6F1BD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3F0E67"/>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DB14E7"/>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D52123"/>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5E0021"/>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A368DD"/>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C629AC"/>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6D4656"/>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2C20D4"/>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9B5B0E"/>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E87BE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02720A"/>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02720A"/>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
    <w:name w:val="Table Grid516"/>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7">
    <w:name w:val="Table Grid517"/>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8">
    <w:name w:val="Table Grid518"/>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9">
    <w:name w:val="Table Grid519"/>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0">
    <w:name w:val="Table Grid520"/>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6">
    <w:name w:val="Table Grid526"/>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7">
    <w:name w:val="Table Grid527"/>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8">
    <w:name w:val="Table Grid528"/>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9">
    <w:name w:val="Table Grid529"/>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0">
    <w:name w:val="Table Grid530"/>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5">
    <w:name w:val="Table Grid535"/>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6">
    <w:name w:val="Table Grid536"/>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7">
    <w:name w:val="Table Grid537"/>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8">
    <w:name w:val="Table Grid538"/>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9">
    <w:name w:val="Table Grid539"/>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0">
    <w:name w:val="Table Grid540"/>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FF0AE5"/>
    <w:pPr>
      <w:spacing w:line="480" w:lineRule="auto"/>
    </w:pPr>
  </w:style>
  <w:style w:type="character" w:customStyle="1" w:styleId="BodyText2Char">
    <w:name w:val="Body Text 2 Char"/>
    <w:basedOn w:val="DefaultParagraphFont"/>
    <w:link w:val="BodyText2"/>
    <w:uiPriority w:val="99"/>
    <w:semiHidden/>
    <w:rsid w:val="00FF0AE5"/>
  </w:style>
  <w:style w:type="table" w:customStyle="1" w:styleId="TableGrid39">
    <w:name w:val="Table Grid39"/>
    <w:basedOn w:val="TableNormal"/>
    <w:next w:val="TableGrid"/>
    <w:uiPriority w:val="39"/>
    <w:rsid w:val="00D23430"/>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6867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68241">
      <w:bodyDiv w:val="1"/>
      <w:marLeft w:val="0"/>
      <w:marRight w:val="0"/>
      <w:marTop w:val="0"/>
      <w:marBottom w:val="0"/>
      <w:divBdr>
        <w:top w:val="none" w:sz="0" w:space="0" w:color="auto"/>
        <w:left w:val="none" w:sz="0" w:space="0" w:color="auto"/>
        <w:bottom w:val="none" w:sz="0" w:space="0" w:color="auto"/>
        <w:right w:val="none" w:sz="0" w:space="0" w:color="auto"/>
      </w:divBdr>
    </w:div>
    <w:div w:id="33965398">
      <w:bodyDiv w:val="1"/>
      <w:marLeft w:val="0"/>
      <w:marRight w:val="0"/>
      <w:marTop w:val="0"/>
      <w:marBottom w:val="0"/>
      <w:divBdr>
        <w:top w:val="none" w:sz="0" w:space="0" w:color="auto"/>
        <w:left w:val="none" w:sz="0" w:space="0" w:color="auto"/>
        <w:bottom w:val="none" w:sz="0" w:space="0" w:color="auto"/>
        <w:right w:val="none" w:sz="0" w:space="0" w:color="auto"/>
      </w:divBdr>
    </w:div>
    <w:div w:id="40911475">
      <w:bodyDiv w:val="1"/>
      <w:marLeft w:val="0"/>
      <w:marRight w:val="0"/>
      <w:marTop w:val="0"/>
      <w:marBottom w:val="0"/>
      <w:divBdr>
        <w:top w:val="none" w:sz="0" w:space="0" w:color="auto"/>
        <w:left w:val="none" w:sz="0" w:space="0" w:color="auto"/>
        <w:bottom w:val="none" w:sz="0" w:space="0" w:color="auto"/>
        <w:right w:val="none" w:sz="0" w:space="0" w:color="auto"/>
      </w:divBdr>
    </w:div>
    <w:div w:id="93866593">
      <w:bodyDiv w:val="1"/>
      <w:marLeft w:val="0"/>
      <w:marRight w:val="0"/>
      <w:marTop w:val="0"/>
      <w:marBottom w:val="0"/>
      <w:divBdr>
        <w:top w:val="none" w:sz="0" w:space="0" w:color="auto"/>
        <w:left w:val="none" w:sz="0" w:space="0" w:color="auto"/>
        <w:bottom w:val="none" w:sz="0" w:space="0" w:color="auto"/>
        <w:right w:val="none" w:sz="0" w:space="0" w:color="auto"/>
      </w:divBdr>
    </w:div>
    <w:div w:id="95029288">
      <w:bodyDiv w:val="1"/>
      <w:marLeft w:val="0"/>
      <w:marRight w:val="0"/>
      <w:marTop w:val="0"/>
      <w:marBottom w:val="0"/>
      <w:divBdr>
        <w:top w:val="none" w:sz="0" w:space="0" w:color="auto"/>
        <w:left w:val="none" w:sz="0" w:space="0" w:color="auto"/>
        <w:bottom w:val="none" w:sz="0" w:space="0" w:color="auto"/>
        <w:right w:val="none" w:sz="0" w:space="0" w:color="auto"/>
      </w:divBdr>
    </w:div>
    <w:div w:id="99644218">
      <w:bodyDiv w:val="1"/>
      <w:marLeft w:val="0"/>
      <w:marRight w:val="0"/>
      <w:marTop w:val="0"/>
      <w:marBottom w:val="0"/>
      <w:divBdr>
        <w:top w:val="none" w:sz="0" w:space="0" w:color="auto"/>
        <w:left w:val="none" w:sz="0" w:space="0" w:color="auto"/>
        <w:bottom w:val="none" w:sz="0" w:space="0" w:color="auto"/>
        <w:right w:val="none" w:sz="0" w:space="0" w:color="auto"/>
      </w:divBdr>
    </w:div>
    <w:div w:id="99836832">
      <w:bodyDiv w:val="1"/>
      <w:marLeft w:val="0"/>
      <w:marRight w:val="0"/>
      <w:marTop w:val="0"/>
      <w:marBottom w:val="0"/>
      <w:divBdr>
        <w:top w:val="none" w:sz="0" w:space="0" w:color="auto"/>
        <w:left w:val="none" w:sz="0" w:space="0" w:color="auto"/>
        <w:bottom w:val="none" w:sz="0" w:space="0" w:color="auto"/>
        <w:right w:val="none" w:sz="0" w:space="0" w:color="auto"/>
      </w:divBdr>
    </w:div>
    <w:div w:id="113332841">
      <w:bodyDiv w:val="1"/>
      <w:marLeft w:val="0"/>
      <w:marRight w:val="0"/>
      <w:marTop w:val="0"/>
      <w:marBottom w:val="0"/>
      <w:divBdr>
        <w:top w:val="none" w:sz="0" w:space="0" w:color="auto"/>
        <w:left w:val="none" w:sz="0" w:space="0" w:color="auto"/>
        <w:bottom w:val="none" w:sz="0" w:space="0" w:color="auto"/>
        <w:right w:val="none" w:sz="0" w:space="0" w:color="auto"/>
      </w:divBdr>
    </w:div>
    <w:div w:id="127666839">
      <w:bodyDiv w:val="1"/>
      <w:marLeft w:val="0"/>
      <w:marRight w:val="0"/>
      <w:marTop w:val="0"/>
      <w:marBottom w:val="0"/>
      <w:divBdr>
        <w:top w:val="none" w:sz="0" w:space="0" w:color="auto"/>
        <w:left w:val="none" w:sz="0" w:space="0" w:color="auto"/>
        <w:bottom w:val="none" w:sz="0" w:space="0" w:color="auto"/>
        <w:right w:val="none" w:sz="0" w:space="0" w:color="auto"/>
      </w:divBdr>
    </w:div>
    <w:div w:id="236789384">
      <w:bodyDiv w:val="1"/>
      <w:marLeft w:val="0"/>
      <w:marRight w:val="0"/>
      <w:marTop w:val="0"/>
      <w:marBottom w:val="0"/>
      <w:divBdr>
        <w:top w:val="none" w:sz="0" w:space="0" w:color="auto"/>
        <w:left w:val="none" w:sz="0" w:space="0" w:color="auto"/>
        <w:bottom w:val="none" w:sz="0" w:space="0" w:color="auto"/>
        <w:right w:val="none" w:sz="0" w:space="0" w:color="auto"/>
      </w:divBdr>
    </w:div>
    <w:div w:id="249777093">
      <w:bodyDiv w:val="1"/>
      <w:marLeft w:val="0"/>
      <w:marRight w:val="0"/>
      <w:marTop w:val="0"/>
      <w:marBottom w:val="0"/>
      <w:divBdr>
        <w:top w:val="none" w:sz="0" w:space="0" w:color="auto"/>
        <w:left w:val="none" w:sz="0" w:space="0" w:color="auto"/>
        <w:bottom w:val="none" w:sz="0" w:space="0" w:color="auto"/>
        <w:right w:val="none" w:sz="0" w:space="0" w:color="auto"/>
      </w:divBdr>
    </w:div>
    <w:div w:id="272591982">
      <w:bodyDiv w:val="1"/>
      <w:marLeft w:val="0"/>
      <w:marRight w:val="0"/>
      <w:marTop w:val="0"/>
      <w:marBottom w:val="0"/>
      <w:divBdr>
        <w:top w:val="none" w:sz="0" w:space="0" w:color="auto"/>
        <w:left w:val="none" w:sz="0" w:space="0" w:color="auto"/>
        <w:bottom w:val="none" w:sz="0" w:space="0" w:color="auto"/>
        <w:right w:val="none" w:sz="0" w:space="0" w:color="auto"/>
      </w:divBdr>
    </w:div>
    <w:div w:id="351154350">
      <w:bodyDiv w:val="1"/>
      <w:marLeft w:val="0"/>
      <w:marRight w:val="0"/>
      <w:marTop w:val="0"/>
      <w:marBottom w:val="0"/>
      <w:divBdr>
        <w:top w:val="none" w:sz="0" w:space="0" w:color="auto"/>
        <w:left w:val="none" w:sz="0" w:space="0" w:color="auto"/>
        <w:bottom w:val="none" w:sz="0" w:space="0" w:color="auto"/>
        <w:right w:val="none" w:sz="0" w:space="0" w:color="auto"/>
      </w:divBdr>
    </w:div>
    <w:div w:id="428625770">
      <w:bodyDiv w:val="1"/>
      <w:marLeft w:val="0"/>
      <w:marRight w:val="0"/>
      <w:marTop w:val="0"/>
      <w:marBottom w:val="0"/>
      <w:divBdr>
        <w:top w:val="none" w:sz="0" w:space="0" w:color="auto"/>
        <w:left w:val="none" w:sz="0" w:space="0" w:color="auto"/>
        <w:bottom w:val="none" w:sz="0" w:space="0" w:color="auto"/>
        <w:right w:val="none" w:sz="0" w:space="0" w:color="auto"/>
      </w:divBdr>
    </w:div>
    <w:div w:id="452358982">
      <w:bodyDiv w:val="1"/>
      <w:marLeft w:val="0"/>
      <w:marRight w:val="0"/>
      <w:marTop w:val="0"/>
      <w:marBottom w:val="0"/>
      <w:divBdr>
        <w:top w:val="none" w:sz="0" w:space="0" w:color="auto"/>
        <w:left w:val="none" w:sz="0" w:space="0" w:color="auto"/>
        <w:bottom w:val="none" w:sz="0" w:space="0" w:color="auto"/>
        <w:right w:val="none" w:sz="0" w:space="0" w:color="auto"/>
      </w:divBdr>
    </w:div>
    <w:div w:id="547574626">
      <w:bodyDiv w:val="1"/>
      <w:marLeft w:val="0"/>
      <w:marRight w:val="0"/>
      <w:marTop w:val="0"/>
      <w:marBottom w:val="0"/>
      <w:divBdr>
        <w:top w:val="none" w:sz="0" w:space="0" w:color="auto"/>
        <w:left w:val="none" w:sz="0" w:space="0" w:color="auto"/>
        <w:bottom w:val="none" w:sz="0" w:space="0" w:color="auto"/>
        <w:right w:val="none" w:sz="0" w:space="0" w:color="auto"/>
      </w:divBdr>
    </w:div>
    <w:div w:id="552887272">
      <w:bodyDiv w:val="1"/>
      <w:marLeft w:val="0"/>
      <w:marRight w:val="0"/>
      <w:marTop w:val="0"/>
      <w:marBottom w:val="0"/>
      <w:divBdr>
        <w:top w:val="none" w:sz="0" w:space="0" w:color="auto"/>
        <w:left w:val="none" w:sz="0" w:space="0" w:color="auto"/>
        <w:bottom w:val="none" w:sz="0" w:space="0" w:color="auto"/>
        <w:right w:val="none" w:sz="0" w:space="0" w:color="auto"/>
      </w:divBdr>
    </w:div>
    <w:div w:id="609974047">
      <w:bodyDiv w:val="1"/>
      <w:marLeft w:val="0"/>
      <w:marRight w:val="0"/>
      <w:marTop w:val="0"/>
      <w:marBottom w:val="0"/>
      <w:divBdr>
        <w:top w:val="none" w:sz="0" w:space="0" w:color="auto"/>
        <w:left w:val="none" w:sz="0" w:space="0" w:color="auto"/>
        <w:bottom w:val="none" w:sz="0" w:space="0" w:color="auto"/>
        <w:right w:val="none" w:sz="0" w:space="0" w:color="auto"/>
      </w:divBdr>
    </w:div>
    <w:div w:id="697268996">
      <w:bodyDiv w:val="1"/>
      <w:marLeft w:val="0"/>
      <w:marRight w:val="0"/>
      <w:marTop w:val="0"/>
      <w:marBottom w:val="0"/>
      <w:divBdr>
        <w:top w:val="none" w:sz="0" w:space="0" w:color="auto"/>
        <w:left w:val="none" w:sz="0" w:space="0" w:color="auto"/>
        <w:bottom w:val="none" w:sz="0" w:space="0" w:color="auto"/>
        <w:right w:val="none" w:sz="0" w:space="0" w:color="auto"/>
      </w:divBdr>
    </w:div>
    <w:div w:id="846748878">
      <w:bodyDiv w:val="1"/>
      <w:marLeft w:val="0"/>
      <w:marRight w:val="0"/>
      <w:marTop w:val="0"/>
      <w:marBottom w:val="0"/>
      <w:divBdr>
        <w:top w:val="none" w:sz="0" w:space="0" w:color="auto"/>
        <w:left w:val="none" w:sz="0" w:space="0" w:color="auto"/>
        <w:bottom w:val="none" w:sz="0" w:space="0" w:color="auto"/>
        <w:right w:val="none" w:sz="0" w:space="0" w:color="auto"/>
      </w:divBdr>
    </w:div>
    <w:div w:id="947858869">
      <w:bodyDiv w:val="1"/>
      <w:marLeft w:val="0"/>
      <w:marRight w:val="0"/>
      <w:marTop w:val="0"/>
      <w:marBottom w:val="0"/>
      <w:divBdr>
        <w:top w:val="none" w:sz="0" w:space="0" w:color="auto"/>
        <w:left w:val="none" w:sz="0" w:space="0" w:color="auto"/>
        <w:bottom w:val="none" w:sz="0" w:space="0" w:color="auto"/>
        <w:right w:val="none" w:sz="0" w:space="0" w:color="auto"/>
      </w:divBdr>
    </w:div>
    <w:div w:id="1008865822">
      <w:bodyDiv w:val="1"/>
      <w:marLeft w:val="0"/>
      <w:marRight w:val="0"/>
      <w:marTop w:val="0"/>
      <w:marBottom w:val="0"/>
      <w:divBdr>
        <w:top w:val="none" w:sz="0" w:space="0" w:color="auto"/>
        <w:left w:val="none" w:sz="0" w:space="0" w:color="auto"/>
        <w:bottom w:val="none" w:sz="0" w:space="0" w:color="auto"/>
        <w:right w:val="none" w:sz="0" w:space="0" w:color="auto"/>
      </w:divBdr>
    </w:div>
    <w:div w:id="1067650614">
      <w:bodyDiv w:val="1"/>
      <w:marLeft w:val="0"/>
      <w:marRight w:val="0"/>
      <w:marTop w:val="0"/>
      <w:marBottom w:val="0"/>
      <w:divBdr>
        <w:top w:val="none" w:sz="0" w:space="0" w:color="auto"/>
        <w:left w:val="none" w:sz="0" w:space="0" w:color="auto"/>
        <w:bottom w:val="none" w:sz="0" w:space="0" w:color="auto"/>
        <w:right w:val="none" w:sz="0" w:space="0" w:color="auto"/>
      </w:divBdr>
    </w:div>
    <w:div w:id="1073550899">
      <w:bodyDiv w:val="1"/>
      <w:marLeft w:val="0"/>
      <w:marRight w:val="0"/>
      <w:marTop w:val="0"/>
      <w:marBottom w:val="0"/>
      <w:divBdr>
        <w:top w:val="none" w:sz="0" w:space="0" w:color="auto"/>
        <w:left w:val="none" w:sz="0" w:space="0" w:color="auto"/>
        <w:bottom w:val="none" w:sz="0" w:space="0" w:color="auto"/>
        <w:right w:val="none" w:sz="0" w:space="0" w:color="auto"/>
      </w:divBdr>
    </w:div>
    <w:div w:id="1148060046">
      <w:bodyDiv w:val="1"/>
      <w:marLeft w:val="0"/>
      <w:marRight w:val="0"/>
      <w:marTop w:val="0"/>
      <w:marBottom w:val="0"/>
      <w:divBdr>
        <w:top w:val="none" w:sz="0" w:space="0" w:color="auto"/>
        <w:left w:val="none" w:sz="0" w:space="0" w:color="auto"/>
        <w:bottom w:val="none" w:sz="0" w:space="0" w:color="auto"/>
        <w:right w:val="none" w:sz="0" w:space="0" w:color="auto"/>
      </w:divBdr>
    </w:div>
    <w:div w:id="1271860017">
      <w:bodyDiv w:val="1"/>
      <w:marLeft w:val="0"/>
      <w:marRight w:val="0"/>
      <w:marTop w:val="0"/>
      <w:marBottom w:val="0"/>
      <w:divBdr>
        <w:top w:val="none" w:sz="0" w:space="0" w:color="auto"/>
        <w:left w:val="none" w:sz="0" w:space="0" w:color="auto"/>
        <w:bottom w:val="none" w:sz="0" w:space="0" w:color="auto"/>
        <w:right w:val="none" w:sz="0" w:space="0" w:color="auto"/>
      </w:divBdr>
    </w:div>
    <w:div w:id="1312709122">
      <w:bodyDiv w:val="1"/>
      <w:marLeft w:val="0"/>
      <w:marRight w:val="0"/>
      <w:marTop w:val="0"/>
      <w:marBottom w:val="0"/>
      <w:divBdr>
        <w:top w:val="none" w:sz="0" w:space="0" w:color="auto"/>
        <w:left w:val="none" w:sz="0" w:space="0" w:color="auto"/>
        <w:bottom w:val="none" w:sz="0" w:space="0" w:color="auto"/>
        <w:right w:val="none" w:sz="0" w:space="0" w:color="auto"/>
      </w:divBdr>
    </w:div>
    <w:div w:id="1326201136">
      <w:bodyDiv w:val="1"/>
      <w:marLeft w:val="0"/>
      <w:marRight w:val="0"/>
      <w:marTop w:val="0"/>
      <w:marBottom w:val="0"/>
      <w:divBdr>
        <w:top w:val="none" w:sz="0" w:space="0" w:color="auto"/>
        <w:left w:val="none" w:sz="0" w:space="0" w:color="auto"/>
        <w:bottom w:val="none" w:sz="0" w:space="0" w:color="auto"/>
        <w:right w:val="none" w:sz="0" w:space="0" w:color="auto"/>
      </w:divBdr>
    </w:div>
    <w:div w:id="1382050572">
      <w:bodyDiv w:val="1"/>
      <w:marLeft w:val="0"/>
      <w:marRight w:val="0"/>
      <w:marTop w:val="0"/>
      <w:marBottom w:val="0"/>
      <w:divBdr>
        <w:top w:val="none" w:sz="0" w:space="0" w:color="auto"/>
        <w:left w:val="none" w:sz="0" w:space="0" w:color="auto"/>
        <w:bottom w:val="none" w:sz="0" w:space="0" w:color="auto"/>
        <w:right w:val="none" w:sz="0" w:space="0" w:color="auto"/>
      </w:divBdr>
    </w:div>
    <w:div w:id="1402437508">
      <w:bodyDiv w:val="1"/>
      <w:marLeft w:val="0"/>
      <w:marRight w:val="0"/>
      <w:marTop w:val="0"/>
      <w:marBottom w:val="0"/>
      <w:divBdr>
        <w:top w:val="none" w:sz="0" w:space="0" w:color="auto"/>
        <w:left w:val="none" w:sz="0" w:space="0" w:color="auto"/>
        <w:bottom w:val="none" w:sz="0" w:space="0" w:color="auto"/>
        <w:right w:val="none" w:sz="0" w:space="0" w:color="auto"/>
      </w:divBdr>
    </w:div>
    <w:div w:id="1463887183">
      <w:bodyDiv w:val="1"/>
      <w:marLeft w:val="0"/>
      <w:marRight w:val="0"/>
      <w:marTop w:val="0"/>
      <w:marBottom w:val="0"/>
      <w:divBdr>
        <w:top w:val="none" w:sz="0" w:space="0" w:color="auto"/>
        <w:left w:val="none" w:sz="0" w:space="0" w:color="auto"/>
        <w:bottom w:val="none" w:sz="0" w:space="0" w:color="auto"/>
        <w:right w:val="none" w:sz="0" w:space="0" w:color="auto"/>
      </w:divBdr>
    </w:div>
    <w:div w:id="1485585454">
      <w:bodyDiv w:val="1"/>
      <w:marLeft w:val="0"/>
      <w:marRight w:val="0"/>
      <w:marTop w:val="0"/>
      <w:marBottom w:val="0"/>
      <w:divBdr>
        <w:top w:val="none" w:sz="0" w:space="0" w:color="auto"/>
        <w:left w:val="none" w:sz="0" w:space="0" w:color="auto"/>
        <w:bottom w:val="none" w:sz="0" w:space="0" w:color="auto"/>
        <w:right w:val="none" w:sz="0" w:space="0" w:color="auto"/>
      </w:divBdr>
    </w:div>
    <w:div w:id="1520855969">
      <w:bodyDiv w:val="1"/>
      <w:marLeft w:val="0"/>
      <w:marRight w:val="0"/>
      <w:marTop w:val="0"/>
      <w:marBottom w:val="0"/>
      <w:divBdr>
        <w:top w:val="none" w:sz="0" w:space="0" w:color="auto"/>
        <w:left w:val="none" w:sz="0" w:space="0" w:color="auto"/>
        <w:bottom w:val="none" w:sz="0" w:space="0" w:color="auto"/>
        <w:right w:val="none" w:sz="0" w:space="0" w:color="auto"/>
      </w:divBdr>
    </w:div>
    <w:div w:id="1575385537">
      <w:bodyDiv w:val="1"/>
      <w:marLeft w:val="0"/>
      <w:marRight w:val="0"/>
      <w:marTop w:val="0"/>
      <w:marBottom w:val="0"/>
      <w:divBdr>
        <w:top w:val="none" w:sz="0" w:space="0" w:color="auto"/>
        <w:left w:val="none" w:sz="0" w:space="0" w:color="auto"/>
        <w:bottom w:val="none" w:sz="0" w:space="0" w:color="auto"/>
        <w:right w:val="none" w:sz="0" w:space="0" w:color="auto"/>
      </w:divBdr>
    </w:div>
    <w:div w:id="1576738543">
      <w:bodyDiv w:val="1"/>
      <w:marLeft w:val="0"/>
      <w:marRight w:val="0"/>
      <w:marTop w:val="0"/>
      <w:marBottom w:val="0"/>
      <w:divBdr>
        <w:top w:val="none" w:sz="0" w:space="0" w:color="auto"/>
        <w:left w:val="none" w:sz="0" w:space="0" w:color="auto"/>
        <w:bottom w:val="none" w:sz="0" w:space="0" w:color="auto"/>
        <w:right w:val="none" w:sz="0" w:space="0" w:color="auto"/>
      </w:divBdr>
    </w:div>
    <w:div w:id="1616594999">
      <w:bodyDiv w:val="1"/>
      <w:marLeft w:val="0"/>
      <w:marRight w:val="0"/>
      <w:marTop w:val="0"/>
      <w:marBottom w:val="0"/>
      <w:divBdr>
        <w:top w:val="none" w:sz="0" w:space="0" w:color="auto"/>
        <w:left w:val="none" w:sz="0" w:space="0" w:color="auto"/>
        <w:bottom w:val="none" w:sz="0" w:space="0" w:color="auto"/>
        <w:right w:val="none" w:sz="0" w:space="0" w:color="auto"/>
      </w:divBdr>
    </w:div>
    <w:div w:id="1641223368">
      <w:bodyDiv w:val="1"/>
      <w:marLeft w:val="0"/>
      <w:marRight w:val="0"/>
      <w:marTop w:val="0"/>
      <w:marBottom w:val="0"/>
      <w:divBdr>
        <w:top w:val="none" w:sz="0" w:space="0" w:color="auto"/>
        <w:left w:val="none" w:sz="0" w:space="0" w:color="auto"/>
        <w:bottom w:val="none" w:sz="0" w:space="0" w:color="auto"/>
        <w:right w:val="none" w:sz="0" w:space="0" w:color="auto"/>
      </w:divBdr>
    </w:div>
    <w:div w:id="1649746207">
      <w:bodyDiv w:val="1"/>
      <w:marLeft w:val="0"/>
      <w:marRight w:val="0"/>
      <w:marTop w:val="0"/>
      <w:marBottom w:val="0"/>
      <w:divBdr>
        <w:top w:val="none" w:sz="0" w:space="0" w:color="auto"/>
        <w:left w:val="none" w:sz="0" w:space="0" w:color="auto"/>
        <w:bottom w:val="none" w:sz="0" w:space="0" w:color="auto"/>
        <w:right w:val="none" w:sz="0" w:space="0" w:color="auto"/>
      </w:divBdr>
    </w:div>
    <w:div w:id="1666784161">
      <w:bodyDiv w:val="1"/>
      <w:marLeft w:val="0"/>
      <w:marRight w:val="0"/>
      <w:marTop w:val="0"/>
      <w:marBottom w:val="0"/>
      <w:divBdr>
        <w:top w:val="none" w:sz="0" w:space="0" w:color="auto"/>
        <w:left w:val="none" w:sz="0" w:space="0" w:color="auto"/>
        <w:bottom w:val="none" w:sz="0" w:space="0" w:color="auto"/>
        <w:right w:val="none" w:sz="0" w:space="0" w:color="auto"/>
      </w:divBdr>
    </w:div>
    <w:div w:id="1670134449">
      <w:bodyDiv w:val="1"/>
      <w:marLeft w:val="0"/>
      <w:marRight w:val="0"/>
      <w:marTop w:val="0"/>
      <w:marBottom w:val="0"/>
      <w:divBdr>
        <w:top w:val="none" w:sz="0" w:space="0" w:color="auto"/>
        <w:left w:val="none" w:sz="0" w:space="0" w:color="auto"/>
        <w:bottom w:val="none" w:sz="0" w:space="0" w:color="auto"/>
        <w:right w:val="none" w:sz="0" w:space="0" w:color="auto"/>
      </w:divBdr>
    </w:div>
    <w:div w:id="1685016189">
      <w:bodyDiv w:val="1"/>
      <w:marLeft w:val="0"/>
      <w:marRight w:val="0"/>
      <w:marTop w:val="0"/>
      <w:marBottom w:val="0"/>
      <w:divBdr>
        <w:top w:val="none" w:sz="0" w:space="0" w:color="auto"/>
        <w:left w:val="none" w:sz="0" w:space="0" w:color="auto"/>
        <w:bottom w:val="none" w:sz="0" w:space="0" w:color="auto"/>
        <w:right w:val="none" w:sz="0" w:space="0" w:color="auto"/>
      </w:divBdr>
    </w:div>
    <w:div w:id="1702633259">
      <w:bodyDiv w:val="1"/>
      <w:marLeft w:val="0"/>
      <w:marRight w:val="0"/>
      <w:marTop w:val="0"/>
      <w:marBottom w:val="0"/>
      <w:divBdr>
        <w:top w:val="none" w:sz="0" w:space="0" w:color="auto"/>
        <w:left w:val="none" w:sz="0" w:space="0" w:color="auto"/>
        <w:bottom w:val="none" w:sz="0" w:space="0" w:color="auto"/>
        <w:right w:val="none" w:sz="0" w:space="0" w:color="auto"/>
      </w:divBdr>
    </w:div>
    <w:div w:id="1709797495">
      <w:bodyDiv w:val="1"/>
      <w:marLeft w:val="0"/>
      <w:marRight w:val="0"/>
      <w:marTop w:val="0"/>
      <w:marBottom w:val="0"/>
      <w:divBdr>
        <w:top w:val="none" w:sz="0" w:space="0" w:color="auto"/>
        <w:left w:val="none" w:sz="0" w:space="0" w:color="auto"/>
        <w:bottom w:val="none" w:sz="0" w:space="0" w:color="auto"/>
        <w:right w:val="none" w:sz="0" w:space="0" w:color="auto"/>
      </w:divBdr>
    </w:div>
    <w:div w:id="1880511637">
      <w:bodyDiv w:val="1"/>
      <w:marLeft w:val="0"/>
      <w:marRight w:val="0"/>
      <w:marTop w:val="0"/>
      <w:marBottom w:val="0"/>
      <w:divBdr>
        <w:top w:val="none" w:sz="0" w:space="0" w:color="auto"/>
        <w:left w:val="none" w:sz="0" w:space="0" w:color="auto"/>
        <w:bottom w:val="none" w:sz="0" w:space="0" w:color="auto"/>
        <w:right w:val="none" w:sz="0" w:space="0" w:color="auto"/>
      </w:divBdr>
    </w:div>
    <w:div w:id="1891844466">
      <w:bodyDiv w:val="1"/>
      <w:marLeft w:val="0"/>
      <w:marRight w:val="0"/>
      <w:marTop w:val="0"/>
      <w:marBottom w:val="0"/>
      <w:divBdr>
        <w:top w:val="none" w:sz="0" w:space="0" w:color="auto"/>
        <w:left w:val="none" w:sz="0" w:space="0" w:color="auto"/>
        <w:bottom w:val="none" w:sz="0" w:space="0" w:color="auto"/>
        <w:right w:val="none" w:sz="0" w:space="0" w:color="auto"/>
      </w:divBdr>
    </w:div>
    <w:div w:id="1933271513">
      <w:bodyDiv w:val="1"/>
      <w:marLeft w:val="0"/>
      <w:marRight w:val="0"/>
      <w:marTop w:val="0"/>
      <w:marBottom w:val="0"/>
      <w:divBdr>
        <w:top w:val="none" w:sz="0" w:space="0" w:color="auto"/>
        <w:left w:val="none" w:sz="0" w:space="0" w:color="auto"/>
        <w:bottom w:val="none" w:sz="0" w:space="0" w:color="auto"/>
        <w:right w:val="none" w:sz="0" w:space="0" w:color="auto"/>
      </w:divBdr>
    </w:div>
    <w:div w:id="2011249259">
      <w:bodyDiv w:val="1"/>
      <w:marLeft w:val="0"/>
      <w:marRight w:val="0"/>
      <w:marTop w:val="0"/>
      <w:marBottom w:val="0"/>
      <w:divBdr>
        <w:top w:val="none" w:sz="0" w:space="0" w:color="auto"/>
        <w:left w:val="none" w:sz="0" w:space="0" w:color="auto"/>
        <w:bottom w:val="none" w:sz="0" w:space="0" w:color="auto"/>
        <w:right w:val="none" w:sz="0" w:space="0" w:color="auto"/>
      </w:divBdr>
    </w:div>
    <w:div w:id="2061898776">
      <w:bodyDiv w:val="1"/>
      <w:marLeft w:val="0"/>
      <w:marRight w:val="0"/>
      <w:marTop w:val="0"/>
      <w:marBottom w:val="0"/>
      <w:divBdr>
        <w:top w:val="none" w:sz="0" w:space="0" w:color="auto"/>
        <w:left w:val="none" w:sz="0" w:space="0" w:color="auto"/>
        <w:bottom w:val="none" w:sz="0" w:space="0" w:color="auto"/>
        <w:right w:val="none" w:sz="0" w:space="0" w:color="auto"/>
      </w:divBdr>
    </w:div>
    <w:div w:id="2070884419">
      <w:bodyDiv w:val="1"/>
      <w:marLeft w:val="0"/>
      <w:marRight w:val="0"/>
      <w:marTop w:val="0"/>
      <w:marBottom w:val="0"/>
      <w:divBdr>
        <w:top w:val="none" w:sz="0" w:space="0" w:color="auto"/>
        <w:left w:val="none" w:sz="0" w:space="0" w:color="auto"/>
        <w:bottom w:val="none" w:sz="0" w:space="0" w:color="auto"/>
        <w:right w:val="none" w:sz="0" w:space="0" w:color="auto"/>
      </w:divBdr>
    </w:div>
    <w:div w:id="2087022420">
      <w:bodyDiv w:val="1"/>
      <w:marLeft w:val="0"/>
      <w:marRight w:val="0"/>
      <w:marTop w:val="0"/>
      <w:marBottom w:val="0"/>
      <w:divBdr>
        <w:top w:val="none" w:sz="0" w:space="0" w:color="auto"/>
        <w:left w:val="none" w:sz="0" w:space="0" w:color="auto"/>
        <w:bottom w:val="none" w:sz="0" w:space="0" w:color="auto"/>
        <w:right w:val="none" w:sz="0" w:space="0" w:color="auto"/>
      </w:divBdr>
    </w:div>
    <w:div w:id="2113668062">
      <w:bodyDiv w:val="1"/>
      <w:marLeft w:val="0"/>
      <w:marRight w:val="0"/>
      <w:marTop w:val="0"/>
      <w:marBottom w:val="0"/>
      <w:divBdr>
        <w:top w:val="none" w:sz="0" w:space="0" w:color="auto"/>
        <w:left w:val="none" w:sz="0" w:space="0" w:color="auto"/>
        <w:bottom w:val="none" w:sz="0" w:space="0" w:color="auto"/>
        <w:right w:val="none" w:sz="0" w:space="0" w:color="auto"/>
      </w:divBdr>
    </w:div>
    <w:div w:id="2126382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1.png"/><Relationship Id="rId6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4.png"/><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hyperlink" Target="https://consult.scotland.police.uk/" TargetMode="External"/><Relationship Id="rId66" Type="http://schemas.openxmlformats.org/officeDocument/2006/relationships/image" Target="media/image44.png"/><Relationship Id="rId74"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cid:image002.png@01DA59B1.A226DBB0" TargetMode="External"/><Relationship Id="rId19" Type="http://schemas.openxmlformats.org/officeDocument/2006/relationships/image" Target="media/image4.png"/><Relationship Id="rId14" Type="http://schemas.openxmlformats.org/officeDocument/2006/relationships/hyperlink" Target="https://www.scotland.police.uk/about-us/what-we-do/how-we-are-performing/"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www.scotland.police.uk/about-us/how-we-do-it/stop-and-search/data-publication/" TargetMode="Externa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yperlink" Target="https://www.scotland.police.uk/about-us/how-we-do-it/research-and-insights/user-experience-surveys/" TargetMode="External"/><Relationship Id="rId64" Type="http://schemas.openxmlformats.org/officeDocument/2006/relationships/image" Target="media/image42.png"/><Relationship Id="rId69"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image" Target="media/image35.png"/><Relationship Id="rId72"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hyperlink" Target="https://www.scotland.police.uk/about-us/what-we-do/how-we-are-performing/"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hyperlink" Target="https://consult.scotland.police.uk/learning/" TargetMode="External"/><Relationship Id="rId67" Type="http://schemas.openxmlformats.org/officeDocument/2006/relationships/image" Target="media/image45.png"/><Relationship Id="rId20" Type="http://schemas.openxmlformats.org/officeDocument/2006/relationships/image" Target="media/image5.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0.png"/><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scotland.police.uk/what-s-happening/news/2023/april/new-annual-police-plan-2023-24/"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hyperlink" Target="https://consult.scotland.police.uk/strategy-insight-and-innovation/involving-you-in-the-future-of-our-estate/" TargetMode="External"/><Relationship Id="rId10" Type="http://schemas.openxmlformats.org/officeDocument/2006/relationships/footnotes" Target="footnotes.xm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39.png"/><Relationship Id="rId65" Type="http://schemas.openxmlformats.org/officeDocument/2006/relationships/image" Target="media/image43.png"/><Relationship Id="rId73"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s://www.scotland.police.uk/about-us/what-we-do/how-we-are-performing/" TargetMode="External"/><Relationship Id="rId39" Type="http://schemas.openxmlformats.org/officeDocument/2006/relationships/image" Target="media/image23.png"/><Relationship Id="rId34" Type="http://schemas.openxmlformats.org/officeDocument/2006/relationships/image" Target="media/image19.png"/><Relationship Id="rId50" Type="http://schemas.openxmlformats.org/officeDocument/2006/relationships/image" Target="media/image34.png"/><Relationship Id="rId55" Type="http://schemas.openxmlformats.org/officeDocument/2006/relationships/hyperlink" Target="https://consult.scotland.police.uk/strategy-insight-and-innovation/your-police-2023-2024/" TargetMode="External"/><Relationship Id="rId7" Type="http://schemas.openxmlformats.org/officeDocument/2006/relationships/styles" Target="styles.xml"/><Relationship Id="rId7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dlc_DocId xmlns="322eb64b-2ec8-46fd-817b-73c63f822af1">PSOS-1155757008-35</_dlc_DocId>
    <_dlc_DocIdUrl xmlns="322eb64b-2ec8-46fd-817b-73c63f822af1">
      <Url>https://spi.spnet.local/policescotland/org-support/corp-services/corporate-communications/_layouts/15/DocIdRedir.aspx?ID=PSOS-1155757008-35</Url>
      <Description>PSOS-1155757008-35</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211436E474B3A4C873F6FE409F47AE5" ma:contentTypeVersion="14" ma:contentTypeDescription="Create a new document." ma:contentTypeScope="" ma:versionID="38a73b154759f5a1a264d6372679f4e6">
  <xsd:schema xmlns:xsd="http://www.w3.org/2001/XMLSchema" xmlns:xs="http://www.w3.org/2001/XMLSchema" xmlns:p="http://schemas.microsoft.com/office/2006/metadata/properties" xmlns:ns2="322eb64b-2ec8-46fd-817b-73c63f822af1" targetNamespace="http://schemas.microsoft.com/office/2006/metadata/properties" ma:root="true" ma:fieldsID="92c992aacb862c2d6cfa2b9effd0cb7d" ns2:_="">
    <xsd:import namespace="322eb64b-2ec8-46fd-817b-73c63f822af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eb64b-2ec8-46fd-817b-73c63f822af1"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file>

<file path=customXml/itemProps1.xml><?xml version="1.0" encoding="utf-8"?>
<ds:datastoreItem xmlns:ds="http://schemas.openxmlformats.org/officeDocument/2006/customXml" ds:itemID="{6D590A20-BEB1-42F5-9C43-CD75983A3EC0}">
  <ds:schemaRefs>
    <ds:schemaRef ds:uri="http://schemas.openxmlformats.org/officeDocument/2006/bibliography"/>
  </ds:schemaRefs>
</ds:datastoreItem>
</file>

<file path=customXml/itemProps2.xml><?xml version="1.0" encoding="utf-8"?>
<ds:datastoreItem xmlns:ds="http://schemas.openxmlformats.org/officeDocument/2006/customXml" ds:itemID="{CF009EF4-C31E-4EEB-BA94-5CFF95F929ED}">
  <ds:schemaRefs>
    <ds:schemaRef ds:uri="http://schemas.openxmlformats.org/package/2006/metadata/core-properties"/>
    <ds:schemaRef ds:uri="http://schemas.microsoft.com/office/infopath/2007/PartnerControls"/>
    <ds:schemaRef ds:uri="http://schemas.microsoft.com/office/2006/documentManagement/types"/>
    <ds:schemaRef ds:uri="http://purl.org/dc/terms/"/>
    <ds:schemaRef ds:uri="322eb64b-2ec8-46fd-817b-73c63f822af1"/>
    <ds:schemaRef ds:uri="http://schemas.microsoft.com/office/2006/metadata/properties"/>
    <ds:schemaRef ds:uri="http://purl.org/dc/dcmitype/"/>
    <ds:schemaRef ds:uri="http://www.w3.org/XML/1998/namespace"/>
    <ds:schemaRef ds:uri="http://purl.org/dc/elements/1.1/"/>
  </ds:schemaRefs>
</ds:datastoreItem>
</file>

<file path=customXml/itemProps3.xml><?xml version="1.0" encoding="utf-8"?>
<ds:datastoreItem xmlns:ds="http://schemas.openxmlformats.org/officeDocument/2006/customXml" ds:itemID="{87187A1B-D0D5-4206-9FFA-D0CD18198998}">
  <ds:schemaRefs>
    <ds:schemaRef ds:uri="http://schemas.microsoft.com/sharepoint/v3/contenttype/forms"/>
  </ds:schemaRefs>
</ds:datastoreItem>
</file>

<file path=customXml/itemProps4.xml><?xml version="1.0" encoding="utf-8"?>
<ds:datastoreItem xmlns:ds="http://schemas.openxmlformats.org/officeDocument/2006/customXml" ds:itemID="{CD7E30C3-8CC0-48A9-B1C9-146A872B95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2eb64b-2ec8-46fd-817b-73c63f822a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05240CB-3937-415B-8E8E-200ACB5D887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51</Pages>
  <Words>12313</Words>
  <Characters>70189</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
    </vt:vector>
  </TitlesOfParts>
  <Company>Police Scotland</Company>
  <LinksUpToDate>false</LinksUpToDate>
  <CharactersWithSpaces>82338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McLean, Linda</dc:creator>
  <cp:keywords/>
  <dc:description/>
  <cp:lastModifiedBy>Jamieson, Graeme-3</cp:lastModifiedBy>
  <cp:revision>7</cp:revision>
  <cp:lastPrinted>2021-07-13T13:57:00Z</cp:lastPrinted>
  <dcterms:created xsi:type="dcterms:W3CDTF">2024-02-27T12:49:00Z</dcterms:created>
  <dcterms:modified xsi:type="dcterms:W3CDTF">2024-02-28T14:33:00Z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OFFICIAL</vt:lpwstr>
  </property>
  <property fmtid="{D5CDD505-2E9C-101B-9397-08002B2CF9AE}" pid="4" name="ClassificationMadeBy">
    <vt:lpwstr>SPNET\1820463</vt:lpwstr>
  </property>
  <property fmtid="{D5CDD505-2E9C-101B-9397-08002B2CF9AE}" pid="5" name="ClassificationMadeExternally">
    <vt:lpwstr>No</vt:lpwstr>
  </property>
  <property fmtid="{D5CDD505-2E9C-101B-9397-08002B2CF9AE}" pid="6" name="ClassificationMadeOn">
    <vt:filetime>2021-03-10T13:52:29Z</vt:filetime>
  </property>
  <property fmtid="{D5CDD505-2E9C-101B-9397-08002B2CF9AE}" pid="7" name="ContentTypeId">
    <vt:lpwstr>0x010100C211436E474B3A4C873F6FE409F47AE5</vt:lpwstr>
  </property>
  <property fmtid="{D5CDD505-2E9C-101B-9397-08002B2CF9AE}" pid="8" name="_dlc_DocIdItemGuid">
    <vt:lpwstr>180ff81d-7586-457d-ac91-3121790494e2</vt:lpwstr>
  </property>
</Properties>
</file>